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style1.xml" ContentType="application/vnd.ms-office.chartstyle+xml"/>
  <Override PartName="/word/charts/colors1.xml" ContentType="application/vnd.ms-office.chartcolorstyle+xml"/>
  <Override PartName="/word/charts/style2.xml" ContentType="application/vnd.ms-office.chartstyle+xml"/>
  <Override PartName="/word/charts/colors2.xml" ContentType="application/vnd.ms-office.chartcolorstyle+xml"/>
  <Override PartName="/word/charts/style3.xml" ContentType="application/vnd.ms-office.chartstyle+xml"/>
  <Override PartName="/word/charts/colors3.xml" ContentType="application/vnd.ms-office.chartcolorstyle+xml"/>
  <Override PartName="/word/charts/style4.xml" ContentType="application/vnd.ms-office.chartstyle+xml"/>
  <Override PartName="/word/charts/colors4.xml" ContentType="application/vnd.ms-office.chartcolorstyle+xml"/>
  <Override PartName="/word/charts/style5.xml" ContentType="application/vnd.ms-office.chartstyle+xml"/>
  <Override PartName="/word/charts/colors5.xml" ContentType="application/vnd.ms-office.chartcolorstyle+xml"/>
  <Override PartName="/word/charts/style6.xml" ContentType="application/vnd.ms-office.chartstyle+xml"/>
  <Override PartName="/word/charts/colors6.xml" ContentType="application/vnd.ms-office.chartcolorsty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1AC08B" w14:textId="77777777" w:rsidR="00101142" w:rsidRPr="00FF5A48" w:rsidRDefault="00101142" w:rsidP="00AA25EB">
      <w:pPr>
        <w:ind w:left="180"/>
      </w:pPr>
    </w:p>
    <w:p w14:paraId="00618C9E" w14:textId="237864F7" w:rsidR="0012171D" w:rsidRPr="00FF5A48" w:rsidRDefault="0012171D" w:rsidP="00AA25EB">
      <w:pPr>
        <w:ind w:left="180"/>
        <w:rPr>
          <w:b/>
          <w:sz w:val="24"/>
          <w:u w:val="single"/>
        </w:rPr>
      </w:pPr>
      <w:r w:rsidRPr="00FF5A48">
        <w:rPr>
          <w:b/>
          <w:sz w:val="24"/>
          <w:u w:val="single"/>
        </w:rPr>
        <w:t>Statewide Results</w:t>
      </w:r>
    </w:p>
    <w:p w14:paraId="395C42B8" w14:textId="77777777" w:rsidR="0012171D" w:rsidRPr="00FF5A48" w:rsidRDefault="0012171D" w:rsidP="00AA25EB">
      <w:pPr>
        <w:ind w:left="180"/>
        <w:rPr>
          <w:i/>
          <w:sz w:val="24"/>
        </w:rPr>
      </w:pPr>
    </w:p>
    <w:p w14:paraId="6F70559E" w14:textId="77777777" w:rsidR="00C4774F" w:rsidRPr="00FF5A48" w:rsidRDefault="00C4774F" w:rsidP="00AA25EB">
      <w:pPr>
        <w:ind w:left="180"/>
        <w:rPr>
          <w:sz w:val="24"/>
        </w:rPr>
      </w:pPr>
      <w:r w:rsidRPr="00FF5A48">
        <w:rPr>
          <w:sz w:val="24"/>
        </w:rPr>
        <w:t xml:space="preserve">Preliminary analyses of the partial CAASPP results made public by the CDE today revealed that all students statewide showed some improvement in the second administration of the assessment. </w:t>
      </w:r>
    </w:p>
    <w:p w14:paraId="40694F17" w14:textId="77777777" w:rsidR="00C4774F" w:rsidRPr="00FF5A48" w:rsidRDefault="00C4774F" w:rsidP="00AA25EB">
      <w:pPr>
        <w:ind w:left="180"/>
        <w:rPr>
          <w:sz w:val="24"/>
        </w:rPr>
      </w:pPr>
    </w:p>
    <w:p w14:paraId="685970F5" w14:textId="7AD96BC0" w:rsidR="00101142" w:rsidRPr="00FF5A48" w:rsidRDefault="0020729E" w:rsidP="00AA25EB">
      <w:pPr>
        <w:ind w:left="180"/>
        <w:rPr>
          <w:sz w:val="24"/>
        </w:rPr>
      </w:pPr>
      <w:r w:rsidRPr="00FF5A48">
        <w:rPr>
          <w:sz w:val="24"/>
        </w:rPr>
        <w:t>Figure 1 b</w:t>
      </w:r>
      <w:r w:rsidR="00101142" w:rsidRPr="00FF5A48">
        <w:rPr>
          <w:sz w:val="24"/>
        </w:rPr>
        <w:t>elow shows that</w:t>
      </w:r>
      <w:r w:rsidRPr="00FF5A48">
        <w:rPr>
          <w:sz w:val="24"/>
        </w:rPr>
        <w:t xml:space="preserve"> both charters and traditional schools increased the percent of students meeting and exceeding standards in both ELA and ma</w:t>
      </w:r>
      <w:r w:rsidR="00925D66" w:rsidRPr="00FF5A48">
        <w:rPr>
          <w:sz w:val="24"/>
        </w:rPr>
        <w:t xml:space="preserve">th. Charter schools achieved a </w:t>
      </w:r>
      <w:r w:rsidRPr="00FF5A48">
        <w:rPr>
          <w:sz w:val="24"/>
        </w:rPr>
        <w:t xml:space="preserve">growth </w:t>
      </w:r>
      <w:r w:rsidR="00925D66" w:rsidRPr="00FF5A48">
        <w:rPr>
          <w:sz w:val="24"/>
        </w:rPr>
        <w:t xml:space="preserve">of 4 percentage points </w:t>
      </w:r>
      <w:r w:rsidRPr="00FF5A48">
        <w:rPr>
          <w:sz w:val="24"/>
        </w:rPr>
        <w:t xml:space="preserve">in ELA such that half of their students are now meeting or exceeding the standard, while 35% of charter students met or exceeded the standard in math. </w:t>
      </w:r>
    </w:p>
    <w:p w14:paraId="3A796ED3" w14:textId="77777777" w:rsidR="00101142" w:rsidRPr="00FF5A48" w:rsidRDefault="00101142" w:rsidP="00AA25EB">
      <w:pPr>
        <w:ind w:left="180"/>
        <w:rPr>
          <w:b/>
        </w:rPr>
      </w:pPr>
    </w:p>
    <w:p w14:paraId="4A4F4663" w14:textId="6D072404" w:rsidR="00101142" w:rsidRPr="00FF5A48" w:rsidRDefault="0020729E" w:rsidP="00AA25EB">
      <w:pPr>
        <w:ind w:left="180"/>
        <w:rPr>
          <w:b/>
        </w:rPr>
      </w:pPr>
      <w:r w:rsidRPr="00FF5A48">
        <w:rPr>
          <w:b/>
        </w:rPr>
        <w:t>Figure 1</w:t>
      </w:r>
      <w:r w:rsidR="00101142" w:rsidRPr="00FF5A48">
        <w:rPr>
          <w:b/>
        </w:rPr>
        <w:t>: 2016 Performance Levels</w:t>
      </w:r>
    </w:p>
    <w:p w14:paraId="730DEC8A" w14:textId="77777777" w:rsidR="00E01F59" w:rsidRPr="00FF5A48" w:rsidRDefault="00E01F59" w:rsidP="00AA25EB">
      <w:pPr>
        <w:ind w:left="180"/>
      </w:pPr>
    </w:p>
    <w:tbl>
      <w:tblPr>
        <w:tblStyle w:val="TableGrid"/>
        <w:tblW w:w="10080" w:type="dxa"/>
        <w:tblInd w:w="204" w:type="dxa"/>
        <w:tblLook w:val="04A0" w:firstRow="1" w:lastRow="0" w:firstColumn="1" w:lastColumn="0" w:noHBand="0" w:noVBand="1"/>
      </w:tblPr>
      <w:tblGrid>
        <w:gridCol w:w="1789"/>
        <w:gridCol w:w="1381"/>
        <w:gridCol w:w="1381"/>
        <w:gridCol w:w="1380"/>
        <w:gridCol w:w="1289"/>
        <w:gridCol w:w="1601"/>
        <w:gridCol w:w="1259"/>
      </w:tblGrid>
      <w:tr w:rsidR="00E41C88" w:rsidRPr="00FF5A48" w14:paraId="13F5C674" w14:textId="68D695F4" w:rsidTr="00C27B0F">
        <w:trPr>
          <w:trHeight w:val="638"/>
        </w:trPr>
        <w:tc>
          <w:tcPr>
            <w:tcW w:w="1789" w:type="dxa"/>
          </w:tcPr>
          <w:p w14:paraId="288B6553" w14:textId="77777777" w:rsidR="00F00CEF" w:rsidRPr="00FF5A48" w:rsidRDefault="00F00CEF" w:rsidP="00AA25EB">
            <w:pPr>
              <w:ind w:left="180"/>
            </w:pPr>
          </w:p>
        </w:tc>
        <w:tc>
          <w:tcPr>
            <w:tcW w:w="1381" w:type="dxa"/>
          </w:tcPr>
          <w:p w14:paraId="06BAE857" w14:textId="009BC087" w:rsidR="00F00CEF" w:rsidRPr="00FF5A48" w:rsidRDefault="00F00CEF" w:rsidP="00AA25EB">
            <w:pPr>
              <w:ind w:left="180"/>
            </w:pPr>
            <w:bookmarkStart w:id="0" w:name="OLE_LINK1"/>
            <w:r w:rsidRPr="00FF5A48">
              <w:t>Standard</w:t>
            </w:r>
            <w:bookmarkEnd w:id="0"/>
            <w:r w:rsidRPr="00FF5A48">
              <w:t xml:space="preserve"> Exceeded</w:t>
            </w:r>
          </w:p>
        </w:tc>
        <w:tc>
          <w:tcPr>
            <w:tcW w:w="1381" w:type="dxa"/>
          </w:tcPr>
          <w:p w14:paraId="4B6FF426" w14:textId="0E640DCA" w:rsidR="00F00CEF" w:rsidRPr="00FF5A48" w:rsidRDefault="00F00CEF" w:rsidP="00AA25EB">
            <w:pPr>
              <w:ind w:left="180"/>
            </w:pPr>
            <w:r w:rsidRPr="00FF5A48">
              <w:t>Standard Met</w:t>
            </w:r>
          </w:p>
        </w:tc>
        <w:tc>
          <w:tcPr>
            <w:tcW w:w="1380" w:type="dxa"/>
          </w:tcPr>
          <w:p w14:paraId="20F62588" w14:textId="381192F9" w:rsidR="00F00CEF" w:rsidRPr="00FF5A48" w:rsidRDefault="00F00CEF" w:rsidP="00AA25EB">
            <w:pPr>
              <w:ind w:left="180"/>
            </w:pPr>
            <w:r w:rsidRPr="00FF5A48">
              <w:t>Standard Nearly Met</w:t>
            </w:r>
          </w:p>
        </w:tc>
        <w:tc>
          <w:tcPr>
            <w:tcW w:w="1289" w:type="dxa"/>
          </w:tcPr>
          <w:p w14:paraId="1E0A9013" w14:textId="5B065A93" w:rsidR="00F00CEF" w:rsidRPr="00FF5A48" w:rsidRDefault="00F00CEF" w:rsidP="00AA25EB">
            <w:pPr>
              <w:ind w:left="180"/>
            </w:pPr>
            <w:r w:rsidRPr="00FF5A48">
              <w:t>Standard Not Met</w:t>
            </w:r>
          </w:p>
        </w:tc>
        <w:tc>
          <w:tcPr>
            <w:tcW w:w="1601" w:type="dxa"/>
          </w:tcPr>
          <w:p w14:paraId="1645EF30" w14:textId="72F27F0E" w:rsidR="00F00CEF" w:rsidRPr="00FF5A48" w:rsidRDefault="00F00CEF" w:rsidP="00AA25EB">
            <w:pPr>
              <w:ind w:left="180"/>
            </w:pPr>
            <w:r w:rsidRPr="00FF5A48">
              <w:t>Standard Met or Exceeded</w:t>
            </w:r>
          </w:p>
        </w:tc>
        <w:tc>
          <w:tcPr>
            <w:tcW w:w="1259" w:type="dxa"/>
          </w:tcPr>
          <w:p w14:paraId="0B43B3B8" w14:textId="236A75EB" w:rsidR="00F00CEF" w:rsidRPr="00FF5A48" w:rsidRDefault="00F00CEF" w:rsidP="00AA25EB">
            <w:pPr>
              <w:ind w:left="180"/>
            </w:pPr>
            <w:r w:rsidRPr="00FF5A48">
              <w:t xml:space="preserve">Change </w:t>
            </w:r>
            <w:r w:rsidR="00E41C88" w:rsidRPr="00FF5A48">
              <w:t>over</w:t>
            </w:r>
            <w:r w:rsidRPr="00FF5A48">
              <w:t xml:space="preserve"> 2015</w:t>
            </w:r>
          </w:p>
        </w:tc>
      </w:tr>
      <w:tr w:rsidR="00E41C88" w:rsidRPr="00FF5A48" w14:paraId="21BA84AF" w14:textId="3F5259E8" w:rsidTr="003A6FF8">
        <w:trPr>
          <w:trHeight w:val="503"/>
        </w:trPr>
        <w:tc>
          <w:tcPr>
            <w:tcW w:w="1789" w:type="dxa"/>
          </w:tcPr>
          <w:p w14:paraId="56CB0497" w14:textId="564541FE" w:rsidR="00F00CEF" w:rsidRPr="00FF5A48" w:rsidRDefault="00F00CEF" w:rsidP="00AA25EB">
            <w:pPr>
              <w:ind w:left="180"/>
            </w:pPr>
            <w:r w:rsidRPr="00FF5A48">
              <w:t>Charter – Math</w:t>
            </w:r>
          </w:p>
        </w:tc>
        <w:tc>
          <w:tcPr>
            <w:tcW w:w="1381" w:type="dxa"/>
          </w:tcPr>
          <w:p w14:paraId="457BF464" w14:textId="3C3814A9" w:rsidR="00F00CEF" w:rsidRPr="00FF5A48" w:rsidRDefault="00F00CEF" w:rsidP="00AA25EB">
            <w:pPr>
              <w:ind w:left="180"/>
            </w:pPr>
            <w:r w:rsidRPr="00FF5A48">
              <w:t>14%</w:t>
            </w:r>
          </w:p>
        </w:tc>
        <w:tc>
          <w:tcPr>
            <w:tcW w:w="1381" w:type="dxa"/>
          </w:tcPr>
          <w:p w14:paraId="3F5B6A82" w14:textId="3A6E5F00" w:rsidR="00F00CEF" w:rsidRPr="00FF5A48" w:rsidRDefault="00F00CEF" w:rsidP="00AA25EB">
            <w:pPr>
              <w:ind w:left="180"/>
            </w:pPr>
            <w:r w:rsidRPr="00FF5A48">
              <w:t>21%</w:t>
            </w:r>
          </w:p>
        </w:tc>
        <w:tc>
          <w:tcPr>
            <w:tcW w:w="1380" w:type="dxa"/>
          </w:tcPr>
          <w:p w14:paraId="3111D053" w14:textId="12F3ABA3" w:rsidR="00F00CEF" w:rsidRPr="00FF5A48" w:rsidRDefault="00F00CEF" w:rsidP="00AA25EB">
            <w:pPr>
              <w:ind w:left="180"/>
            </w:pPr>
            <w:r w:rsidRPr="00FF5A48">
              <w:t>30%</w:t>
            </w:r>
          </w:p>
        </w:tc>
        <w:tc>
          <w:tcPr>
            <w:tcW w:w="1289" w:type="dxa"/>
          </w:tcPr>
          <w:p w14:paraId="1371C47D" w14:textId="56C61188" w:rsidR="00F00CEF" w:rsidRPr="00FF5A48" w:rsidRDefault="00F00CEF" w:rsidP="00AA25EB">
            <w:pPr>
              <w:ind w:left="180"/>
            </w:pPr>
            <w:r w:rsidRPr="00FF5A48">
              <w:t>35%</w:t>
            </w:r>
          </w:p>
        </w:tc>
        <w:tc>
          <w:tcPr>
            <w:tcW w:w="1601" w:type="dxa"/>
          </w:tcPr>
          <w:p w14:paraId="0E8BBC11" w14:textId="29322726" w:rsidR="00F00CEF" w:rsidRPr="00FF5A48" w:rsidRDefault="00F00CEF" w:rsidP="00AA25EB">
            <w:pPr>
              <w:ind w:left="180"/>
            </w:pPr>
            <w:r w:rsidRPr="00FF5A48">
              <w:t>35%</w:t>
            </w:r>
          </w:p>
        </w:tc>
        <w:tc>
          <w:tcPr>
            <w:tcW w:w="1259" w:type="dxa"/>
          </w:tcPr>
          <w:p w14:paraId="554FFEBC" w14:textId="07B48A2B" w:rsidR="00F00CEF" w:rsidRPr="00FF5A48" w:rsidRDefault="00925D66" w:rsidP="00AA25EB">
            <w:pPr>
              <w:ind w:left="180"/>
            </w:pPr>
            <w:r w:rsidRPr="00FF5A48">
              <w:t>+3</w:t>
            </w:r>
            <w:r w:rsidR="0029279D" w:rsidRPr="00FF5A48">
              <w:t>%</w:t>
            </w:r>
          </w:p>
        </w:tc>
      </w:tr>
      <w:tr w:rsidR="00E41C88" w:rsidRPr="00FF5A48" w14:paraId="6EB71359" w14:textId="78EC49E3" w:rsidTr="00C27B0F">
        <w:tc>
          <w:tcPr>
            <w:tcW w:w="1789" w:type="dxa"/>
          </w:tcPr>
          <w:p w14:paraId="0B81035F" w14:textId="31D3D867" w:rsidR="00F00CEF" w:rsidRPr="00FF5A48" w:rsidRDefault="00F00CEF" w:rsidP="00AA25EB">
            <w:pPr>
              <w:ind w:left="180"/>
            </w:pPr>
            <w:r w:rsidRPr="00FF5A48">
              <w:t>Traditional – Math</w:t>
            </w:r>
          </w:p>
        </w:tc>
        <w:tc>
          <w:tcPr>
            <w:tcW w:w="1381" w:type="dxa"/>
          </w:tcPr>
          <w:p w14:paraId="6F6B0629" w14:textId="1A82B1FC" w:rsidR="00F00CEF" w:rsidRPr="00FF5A48" w:rsidRDefault="00F00CEF" w:rsidP="00AA25EB">
            <w:pPr>
              <w:ind w:left="180"/>
            </w:pPr>
            <w:r w:rsidRPr="00FF5A48">
              <w:t>16%</w:t>
            </w:r>
          </w:p>
        </w:tc>
        <w:tc>
          <w:tcPr>
            <w:tcW w:w="1381" w:type="dxa"/>
          </w:tcPr>
          <w:p w14:paraId="77D84B00" w14:textId="5DA4DBCE" w:rsidR="00F00CEF" w:rsidRPr="00FF5A48" w:rsidRDefault="00F00CEF" w:rsidP="00AA25EB">
            <w:pPr>
              <w:ind w:left="180"/>
            </w:pPr>
            <w:r w:rsidRPr="00FF5A48">
              <w:t>21%</w:t>
            </w:r>
          </w:p>
        </w:tc>
        <w:tc>
          <w:tcPr>
            <w:tcW w:w="1380" w:type="dxa"/>
          </w:tcPr>
          <w:p w14:paraId="3FC245CC" w14:textId="5B71EF23" w:rsidR="00F00CEF" w:rsidRPr="00FF5A48" w:rsidRDefault="00F00CEF" w:rsidP="00AA25EB">
            <w:pPr>
              <w:ind w:left="180"/>
            </w:pPr>
            <w:r w:rsidRPr="00FF5A48">
              <w:t>29%</w:t>
            </w:r>
          </w:p>
        </w:tc>
        <w:tc>
          <w:tcPr>
            <w:tcW w:w="1289" w:type="dxa"/>
          </w:tcPr>
          <w:p w14:paraId="1AFC7442" w14:textId="079B6DDE" w:rsidR="00F00CEF" w:rsidRPr="00FF5A48" w:rsidRDefault="00F00CEF" w:rsidP="00AA25EB">
            <w:pPr>
              <w:ind w:left="180"/>
            </w:pPr>
            <w:r w:rsidRPr="00FF5A48">
              <w:t>35%</w:t>
            </w:r>
          </w:p>
        </w:tc>
        <w:tc>
          <w:tcPr>
            <w:tcW w:w="1601" w:type="dxa"/>
          </w:tcPr>
          <w:p w14:paraId="6204D6F3" w14:textId="58DACEE2" w:rsidR="00F00CEF" w:rsidRPr="00FF5A48" w:rsidRDefault="00F00CEF" w:rsidP="00AA25EB">
            <w:pPr>
              <w:ind w:left="180"/>
            </w:pPr>
            <w:r w:rsidRPr="00FF5A48">
              <w:t>37%</w:t>
            </w:r>
          </w:p>
        </w:tc>
        <w:tc>
          <w:tcPr>
            <w:tcW w:w="1259" w:type="dxa"/>
          </w:tcPr>
          <w:p w14:paraId="1BDB7045" w14:textId="06C00716" w:rsidR="00F00CEF" w:rsidRPr="00FF5A48" w:rsidRDefault="0029279D" w:rsidP="00AA25EB">
            <w:pPr>
              <w:ind w:left="180"/>
            </w:pPr>
            <w:r w:rsidRPr="00FF5A48">
              <w:t>+3%</w:t>
            </w:r>
          </w:p>
        </w:tc>
      </w:tr>
      <w:tr w:rsidR="00E41C88" w:rsidRPr="00FF5A48" w14:paraId="6FF09F5E" w14:textId="4C6EC2A2" w:rsidTr="00C27B0F">
        <w:tc>
          <w:tcPr>
            <w:tcW w:w="1789" w:type="dxa"/>
          </w:tcPr>
          <w:p w14:paraId="006E2CD4" w14:textId="29035663" w:rsidR="00F00CEF" w:rsidRPr="00FF5A48" w:rsidRDefault="00F00CEF" w:rsidP="00AA25EB">
            <w:pPr>
              <w:ind w:left="180"/>
            </w:pPr>
            <w:r w:rsidRPr="00FF5A48">
              <w:t>Charter – ELA</w:t>
            </w:r>
          </w:p>
        </w:tc>
        <w:tc>
          <w:tcPr>
            <w:tcW w:w="1381" w:type="dxa"/>
          </w:tcPr>
          <w:p w14:paraId="1DBA7F49" w14:textId="24D5E17C" w:rsidR="00F00CEF" w:rsidRPr="00FF5A48" w:rsidRDefault="00F00CEF" w:rsidP="00AA25EB">
            <w:pPr>
              <w:ind w:left="180"/>
            </w:pPr>
            <w:r w:rsidRPr="00FF5A48">
              <w:t>20%</w:t>
            </w:r>
          </w:p>
        </w:tc>
        <w:tc>
          <w:tcPr>
            <w:tcW w:w="1381" w:type="dxa"/>
          </w:tcPr>
          <w:p w14:paraId="16B1C4D4" w14:textId="4E7D5D3A" w:rsidR="00F00CEF" w:rsidRPr="00FF5A48" w:rsidRDefault="00F00CEF" w:rsidP="00AA25EB">
            <w:pPr>
              <w:ind w:left="180"/>
            </w:pPr>
            <w:r w:rsidRPr="00FF5A48">
              <w:t>30%</w:t>
            </w:r>
          </w:p>
        </w:tc>
        <w:tc>
          <w:tcPr>
            <w:tcW w:w="1380" w:type="dxa"/>
          </w:tcPr>
          <w:p w14:paraId="3CD8A590" w14:textId="373F502D" w:rsidR="00F00CEF" w:rsidRPr="00FF5A48" w:rsidRDefault="00F00CEF" w:rsidP="00AA25EB">
            <w:pPr>
              <w:ind w:left="180"/>
            </w:pPr>
            <w:r w:rsidRPr="00FF5A48">
              <w:t>25%</w:t>
            </w:r>
          </w:p>
        </w:tc>
        <w:tc>
          <w:tcPr>
            <w:tcW w:w="1289" w:type="dxa"/>
          </w:tcPr>
          <w:p w14:paraId="5E544B68" w14:textId="290C4529" w:rsidR="00F00CEF" w:rsidRPr="00FF5A48" w:rsidRDefault="00F00CEF" w:rsidP="00AA25EB">
            <w:pPr>
              <w:ind w:left="180"/>
            </w:pPr>
            <w:r w:rsidRPr="00FF5A48">
              <w:t>25%</w:t>
            </w:r>
          </w:p>
        </w:tc>
        <w:tc>
          <w:tcPr>
            <w:tcW w:w="1601" w:type="dxa"/>
          </w:tcPr>
          <w:p w14:paraId="62DDBEE1" w14:textId="04149647" w:rsidR="00F00CEF" w:rsidRPr="00FF5A48" w:rsidRDefault="00F00CEF" w:rsidP="00AA25EB">
            <w:pPr>
              <w:ind w:left="180"/>
            </w:pPr>
            <w:r w:rsidRPr="00FF5A48">
              <w:t>50%</w:t>
            </w:r>
          </w:p>
        </w:tc>
        <w:tc>
          <w:tcPr>
            <w:tcW w:w="1259" w:type="dxa"/>
          </w:tcPr>
          <w:p w14:paraId="502DAA33" w14:textId="0FDC915D" w:rsidR="00F00CEF" w:rsidRPr="00FF5A48" w:rsidRDefault="0029279D" w:rsidP="00AA25EB">
            <w:pPr>
              <w:ind w:left="180"/>
            </w:pPr>
            <w:r w:rsidRPr="00FF5A48">
              <w:t>+4%</w:t>
            </w:r>
          </w:p>
        </w:tc>
      </w:tr>
      <w:tr w:rsidR="00E41C88" w:rsidRPr="00FF5A48" w14:paraId="5B41C59A" w14:textId="02E74F35" w:rsidTr="00C27B0F">
        <w:tc>
          <w:tcPr>
            <w:tcW w:w="1789" w:type="dxa"/>
          </w:tcPr>
          <w:p w14:paraId="7D1ECCFC" w14:textId="6EF43214" w:rsidR="00F00CEF" w:rsidRPr="00FF5A48" w:rsidRDefault="00F00CEF" w:rsidP="00AA25EB">
            <w:pPr>
              <w:ind w:left="180"/>
            </w:pPr>
            <w:r w:rsidRPr="00FF5A48">
              <w:t>Traditional – ELA</w:t>
            </w:r>
          </w:p>
        </w:tc>
        <w:tc>
          <w:tcPr>
            <w:tcW w:w="1381" w:type="dxa"/>
          </w:tcPr>
          <w:p w14:paraId="21AAD8DC" w14:textId="22F2D4CF" w:rsidR="00F00CEF" w:rsidRPr="00FF5A48" w:rsidRDefault="00F00CEF" w:rsidP="00AA25EB">
            <w:pPr>
              <w:ind w:left="180"/>
            </w:pPr>
            <w:r w:rsidRPr="00FF5A48">
              <w:t>20%</w:t>
            </w:r>
          </w:p>
        </w:tc>
        <w:tc>
          <w:tcPr>
            <w:tcW w:w="1381" w:type="dxa"/>
          </w:tcPr>
          <w:p w14:paraId="324E2665" w14:textId="18915551" w:rsidR="00F00CEF" w:rsidRPr="00FF5A48" w:rsidRDefault="00F00CEF" w:rsidP="00AA25EB">
            <w:pPr>
              <w:ind w:left="180"/>
            </w:pPr>
            <w:r w:rsidRPr="00FF5A48">
              <w:t>27%</w:t>
            </w:r>
          </w:p>
        </w:tc>
        <w:tc>
          <w:tcPr>
            <w:tcW w:w="1380" w:type="dxa"/>
          </w:tcPr>
          <w:p w14:paraId="7B23CC8D" w14:textId="15AC75AE" w:rsidR="00F00CEF" w:rsidRPr="00FF5A48" w:rsidRDefault="00925D66" w:rsidP="00AA25EB">
            <w:pPr>
              <w:ind w:left="180"/>
            </w:pPr>
            <w:r w:rsidRPr="00FF5A48">
              <w:t>23</w:t>
            </w:r>
            <w:r w:rsidR="00F00CEF" w:rsidRPr="00FF5A48">
              <w:t>%</w:t>
            </w:r>
          </w:p>
        </w:tc>
        <w:tc>
          <w:tcPr>
            <w:tcW w:w="1289" w:type="dxa"/>
          </w:tcPr>
          <w:p w14:paraId="276B3197" w14:textId="70D2A0DB" w:rsidR="00F00CEF" w:rsidRPr="00FF5A48" w:rsidRDefault="00F00CEF" w:rsidP="00AA25EB">
            <w:pPr>
              <w:ind w:left="180"/>
            </w:pPr>
            <w:r w:rsidRPr="00FF5A48">
              <w:t>29%</w:t>
            </w:r>
          </w:p>
        </w:tc>
        <w:tc>
          <w:tcPr>
            <w:tcW w:w="1601" w:type="dxa"/>
          </w:tcPr>
          <w:p w14:paraId="565A24C7" w14:textId="5D3F8B18" w:rsidR="00F00CEF" w:rsidRPr="00FF5A48" w:rsidRDefault="00F00CEF" w:rsidP="00AA25EB">
            <w:pPr>
              <w:ind w:left="180"/>
            </w:pPr>
            <w:r w:rsidRPr="00FF5A48">
              <w:t>47%</w:t>
            </w:r>
          </w:p>
        </w:tc>
        <w:tc>
          <w:tcPr>
            <w:tcW w:w="1259" w:type="dxa"/>
          </w:tcPr>
          <w:p w14:paraId="7ED64E36" w14:textId="1BC1635F" w:rsidR="00F00CEF" w:rsidRPr="00FF5A48" w:rsidRDefault="0029279D" w:rsidP="00AA25EB">
            <w:pPr>
              <w:ind w:left="180"/>
            </w:pPr>
            <w:r w:rsidRPr="00FF5A48">
              <w:t>+4%</w:t>
            </w:r>
          </w:p>
        </w:tc>
      </w:tr>
    </w:tbl>
    <w:p w14:paraId="65D91BA2" w14:textId="5088795C" w:rsidR="0020729E" w:rsidRPr="00FF5A48" w:rsidRDefault="00925D66" w:rsidP="00AA25EB">
      <w:pPr>
        <w:ind w:left="180"/>
        <w:rPr>
          <w:i/>
          <w:color w:val="auto"/>
          <w:sz w:val="20"/>
          <w:szCs w:val="20"/>
        </w:rPr>
      </w:pPr>
      <w:r w:rsidRPr="00FF5A48">
        <w:rPr>
          <w:i/>
          <w:color w:val="auto"/>
          <w:sz w:val="20"/>
          <w:szCs w:val="20"/>
        </w:rPr>
        <w:t>*Percentages reflect rounding and may not sum across rows.</w:t>
      </w:r>
    </w:p>
    <w:p w14:paraId="1EA4A47A" w14:textId="77777777" w:rsidR="00925D66" w:rsidRPr="00FF5A48" w:rsidRDefault="00925D66" w:rsidP="00AA25EB">
      <w:pPr>
        <w:ind w:left="180"/>
      </w:pPr>
    </w:p>
    <w:p w14:paraId="33CDF6DB" w14:textId="72CFC745" w:rsidR="0020729E" w:rsidRPr="00FF5A48" w:rsidRDefault="0020729E" w:rsidP="00AA25EB">
      <w:pPr>
        <w:ind w:left="180"/>
        <w:rPr>
          <w:sz w:val="24"/>
        </w:rPr>
      </w:pPr>
      <w:r w:rsidRPr="00FF5A48">
        <w:rPr>
          <w:sz w:val="24"/>
        </w:rPr>
        <w:t xml:space="preserve">As shown in Figure 2, charter schools have </w:t>
      </w:r>
      <w:r w:rsidR="00C4774F" w:rsidRPr="00FF5A48">
        <w:rPr>
          <w:sz w:val="24"/>
        </w:rPr>
        <w:t>achieved</w:t>
      </w:r>
      <w:r w:rsidRPr="00FF5A48">
        <w:rPr>
          <w:sz w:val="24"/>
        </w:rPr>
        <w:t xml:space="preserve"> </w:t>
      </w:r>
      <w:r w:rsidR="00C4774F" w:rsidRPr="00FF5A48">
        <w:rPr>
          <w:sz w:val="24"/>
        </w:rPr>
        <w:t xml:space="preserve">a higher percentage of students meeting and exceeding standards in ELA, maintaining a 3% higher rate than traditional schools statewide. In contrast, traditional schools have achieved slightly higher growth in math with 37% of students meeting or exceeding standards compared to 35% of charter schools.  </w:t>
      </w:r>
    </w:p>
    <w:p w14:paraId="135A315C" w14:textId="77777777" w:rsidR="0020729E" w:rsidRPr="00FF5A48" w:rsidRDefault="0020729E" w:rsidP="00AA25EB">
      <w:pPr>
        <w:ind w:left="180"/>
      </w:pPr>
    </w:p>
    <w:p w14:paraId="04FFA809" w14:textId="517C5DB4" w:rsidR="0020729E" w:rsidRPr="00FF5A48" w:rsidRDefault="0020729E" w:rsidP="00AA25EB">
      <w:pPr>
        <w:ind w:left="180"/>
        <w:rPr>
          <w:b/>
        </w:rPr>
      </w:pPr>
      <w:r w:rsidRPr="00FF5A48">
        <w:rPr>
          <w:noProof/>
        </w:rPr>
        <w:drawing>
          <wp:anchor distT="0" distB="0" distL="114300" distR="114300" simplePos="0" relativeHeight="251659264" behindDoc="0" locked="0" layoutInCell="1" allowOverlap="1" wp14:anchorId="4826FDF6" wp14:editId="76E3131F">
            <wp:simplePos x="0" y="0"/>
            <wp:positionH relativeFrom="column">
              <wp:posOffset>3489325</wp:posOffset>
            </wp:positionH>
            <wp:positionV relativeFrom="paragraph">
              <wp:posOffset>268605</wp:posOffset>
            </wp:positionV>
            <wp:extent cx="3401060" cy="1931035"/>
            <wp:effectExtent l="0" t="0" r="2540" b="0"/>
            <wp:wrapTight wrapText="bothSides">
              <wp:wrapPolygon edited="0">
                <wp:start x="0" y="0"/>
                <wp:lineTo x="0" y="21309"/>
                <wp:lineTo x="21455" y="21309"/>
                <wp:lineTo x="21455" y="0"/>
                <wp:lineTo x="0" y="0"/>
              </wp:wrapPolygon>
            </wp:wrapTight>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r w:rsidRPr="00FF5A48">
        <w:rPr>
          <w:noProof/>
        </w:rPr>
        <w:drawing>
          <wp:anchor distT="0" distB="0" distL="114300" distR="114300" simplePos="0" relativeHeight="251660288" behindDoc="0" locked="0" layoutInCell="1" allowOverlap="1" wp14:anchorId="55ABEDD7" wp14:editId="16D14F7C">
            <wp:simplePos x="0" y="0"/>
            <wp:positionH relativeFrom="column">
              <wp:posOffset>133350</wp:posOffset>
            </wp:positionH>
            <wp:positionV relativeFrom="paragraph">
              <wp:posOffset>267970</wp:posOffset>
            </wp:positionV>
            <wp:extent cx="3397250" cy="2159000"/>
            <wp:effectExtent l="0" t="0" r="6350" b="0"/>
            <wp:wrapTight wrapText="bothSides">
              <wp:wrapPolygon edited="0">
                <wp:start x="0" y="0"/>
                <wp:lineTo x="0" y="21346"/>
                <wp:lineTo x="21479" y="21346"/>
                <wp:lineTo x="21479" y="0"/>
                <wp:lineTo x="0" y="0"/>
              </wp:wrapPolygon>
            </wp:wrapTight>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Pr="00FF5A48">
        <w:rPr>
          <w:b/>
        </w:rPr>
        <w:t>Figure 2: Change in Percent Met or Exceeding Standards</w:t>
      </w:r>
    </w:p>
    <w:p w14:paraId="5EDE2527" w14:textId="439B2754" w:rsidR="0020729E" w:rsidRPr="00FF5A48" w:rsidRDefault="0020729E" w:rsidP="00AA25EB">
      <w:pPr>
        <w:ind w:left="180"/>
      </w:pPr>
    </w:p>
    <w:p w14:paraId="1FEF4394" w14:textId="5CD67FD0" w:rsidR="0020729E" w:rsidRPr="00FF5A48" w:rsidRDefault="0020729E" w:rsidP="00AA25EB">
      <w:pPr>
        <w:ind w:left="180"/>
      </w:pPr>
    </w:p>
    <w:p w14:paraId="715B9948" w14:textId="4DB6854E" w:rsidR="00D639A7" w:rsidRPr="00FF5A48" w:rsidRDefault="00C4774F" w:rsidP="00AA25EB">
      <w:pPr>
        <w:ind w:left="180"/>
        <w:rPr>
          <w:sz w:val="24"/>
        </w:rPr>
      </w:pPr>
      <w:r w:rsidRPr="00FF5A48">
        <w:rPr>
          <w:sz w:val="24"/>
        </w:rPr>
        <w:t xml:space="preserve">CCSA also examined how the average student in charter and traditional schools progressed toward meeting standards, which provides more information on all students’ improvement, including those that are below grade level standards. Using the CCSA </w:t>
      </w:r>
      <w:hyperlink r:id="rId9" w:history="1">
        <w:r w:rsidRPr="00FF5A48">
          <w:rPr>
            <w:rStyle w:val="Hyperlink"/>
            <w:sz w:val="24"/>
          </w:rPr>
          <w:t>Average Point Difference (APD)</w:t>
        </w:r>
      </w:hyperlink>
      <w:r w:rsidRPr="00FF5A48">
        <w:rPr>
          <w:sz w:val="24"/>
        </w:rPr>
        <w:t xml:space="preserve"> measure, we found that students in both charters and traditional schools statewide averaged </w:t>
      </w:r>
      <w:r w:rsidR="00925D66" w:rsidRPr="00FF5A48">
        <w:rPr>
          <w:sz w:val="24"/>
        </w:rPr>
        <w:t>about</w:t>
      </w:r>
      <w:r w:rsidRPr="00FF5A48">
        <w:rPr>
          <w:sz w:val="24"/>
        </w:rPr>
        <w:t xml:space="preserve"> 8 scale score points closer to meeting grade level standards than in 2015.  Ch</w:t>
      </w:r>
      <w:r w:rsidR="00925D66" w:rsidRPr="00FF5A48">
        <w:rPr>
          <w:sz w:val="24"/>
        </w:rPr>
        <w:t>arter school students rose to 21</w:t>
      </w:r>
      <w:r w:rsidRPr="00FF5A48">
        <w:rPr>
          <w:sz w:val="24"/>
        </w:rPr>
        <w:t xml:space="preserve"> points below meeting standards on average (from 30 points below in 2015) while traditional school students now average 23 scale score points below meeting standards (from 31 points below in 2015).</w:t>
      </w:r>
    </w:p>
    <w:p w14:paraId="6FF616CD" w14:textId="77777777" w:rsidR="00C4774F" w:rsidRPr="00FF5A48" w:rsidRDefault="00C4774F" w:rsidP="00AA25EB">
      <w:pPr>
        <w:ind w:left="180"/>
      </w:pPr>
    </w:p>
    <w:p w14:paraId="4ED5A61E" w14:textId="77777777" w:rsidR="00C4774F" w:rsidRPr="00FF5A48" w:rsidRDefault="00C4774F" w:rsidP="00AA25EB">
      <w:pPr>
        <w:ind w:left="180"/>
      </w:pPr>
    </w:p>
    <w:p w14:paraId="0A5C23B6" w14:textId="326929F4" w:rsidR="0020729E" w:rsidRPr="00FF5A48" w:rsidRDefault="0020729E" w:rsidP="00AA25EB">
      <w:pPr>
        <w:ind w:left="180"/>
        <w:rPr>
          <w:sz w:val="24"/>
        </w:rPr>
      </w:pPr>
      <w:r w:rsidRPr="00FF5A48">
        <w:rPr>
          <w:sz w:val="24"/>
        </w:rPr>
        <w:t>Charter schools accomplish these results while continuing to serve a hi</w:t>
      </w:r>
      <w:r w:rsidR="00FF5A48" w:rsidRPr="00FF5A48">
        <w:rPr>
          <w:sz w:val="24"/>
        </w:rPr>
        <w:t>ghly diverse student population:</w:t>
      </w:r>
    </w:p>
    <w:p w14:paraId="18069AD3" w14:textId="77777777" w:rsidR="00FF5A48" w:rsidRPr="00FF5A48" w:rsidRDefault="00FF5A48" w:rsidP="00AA25EB">
      <w:pPr>
        <w:ind w:left="180"/>
        <w:rPr>
          <w:b/>
        </w:rPr>
      </w:pPr>
    </w:p>
    <w:p w14:paraId="69ABA939" w14:textId="3C72B7EC" w:rsidR="0020729E" w:rsidRPr="00FF5A48" w:rsidRDefault="00FF5A48" w:rsidP="00AA25EB">
      <w:pPr>
        <w:ind w:left="180"/>
        <w:rPr>
          <w:b/>
        </w:rPr>
      </w:pPr>
      <w:r w:rsidRPr="00FF5A48">
        <w:rPr>
          <w:b/>
        </w:rPr>
        <w:t xml:space="preserve">Figure 3: </w:t>
      </w:r>
      <w:r w:rsidRPr="00FF5A48">
        <w:rPr>
          <w:rFonts w:eastAsia="Times New Roman"/>
          <w:b/>
          <w:color w:val="000000"/>
          <w:position w:val="0"/>
        </w:rPr>
        <w:t>2015-16 Enrollment</w:t>
      </w:r>
    </w:p>
    <w:tbl>
      <w:tblPr>
        <w:tblW w:w="6975" w:type="dxa"/>
        <w:tblLook w:val="04A0" w:firstRow="1" w:lastRow="0" w:firstColumn="1" w:lastColumn="0" w:noHBand="0" w:noVBand="1"/>
      </w:tblPr>
      <w:tblGrid>
        <w:gridCol w:w="3578"/>
        <w:gridCol w:w="1380"/>
        <w:gridCol w:w="2017"/>
      </w:tblGrid>
      <w:tr w:rsidR="00700047" w:rsidRPr="00FF5A48" w14:paraId="381ADA62" w14:textId="77777777" w:rsidTr="00FF5A48">
        <w:trPr>
          <w:trHeight w:val="320"/>
        </w:trPr>
        <w:tc>
          <w:tcPr>
            <w:tcW w:w="3578" w:type="dxa"/>
            <w:tcBorders>
              <w:top w:val="nil"/>
              <w:left w:val="nil"/>
              <w:bottom w:val="nil"/>
              <w:right w:val="nil"/>
            </w:tcBorders>
            <w:shd w:val="clear" w:color="auto" w:fill="auto"/>
            <w:vAlign w:val="bottom"/>
            <w:hideMark/>
          </w:tcPr>
          <w:p w14:paraId="0D1CF20E" w14:textId="717FF2EA" w:rsidR="00700047" w:rsidRPr="00FF5A48" w:rsidRDefault="00700047" w:rsidP="00AA25EB">
            <w:pPr>
              <w:ind w:left="180"/>
              <w:rPr>
                <w:rFonts w:eastAsia="Times New Roman"/>
                <w:b/>
                <w:color w:val="000000"/>
                <w:position w:val="0"/>
                <w:sz w:val="24"/>
                <w:szCs w:val="24"/>
              </w:rPr>
            </w:pPr>
          </w:p>
        </w:tc>
        <w:tc>
          <w:tcPr>
            <w:tcW w:w="1380" w:type="dxa"/>
            <w:tcBorders>
              <w:top w:val="nil"/>
              <w:left w:val="nil"/>
              <w:bottom w:val="nil"/>
              <w:right w:val="nil"/>
            </w:tcBorders>
            <w:shd w:val="clear" w:color="auto" w:fill="auto"/>
            <w:noWrap/>
            <w:vAlign w:val="bottom"/>
            <w:hideMark/>
          </w:tcPr>
          <w:p w14:paraId="2A7EA88D" w14:textId="77777777" w:rsidR="00700047" w:rsidRPr="00FF5A48" w:rsidRDefault="00700047" w:rsidP="00AA25EB">
            <w:pPr>
              <w:ind w:left="180"/>
              <w:rPr>
                <w:rFonts w:eastAsia="Times New Roman"/>
                <w:color w:val="000000"/>
                <w:position w:val="0"/>
                <w:sz w:val="24"/>
                <w:szCs w:val="24"/>
              </w:rPr>
            </w:pPr>
            <w:r w:rsidRPr="00FF5A48">
              <w:rPr>
                <w:rFonts w:eastAsia="Times New Roman"/>
                <w:color w:val="000000"/>
                <w:position w:val="0"/>
                <w:sz w:val="24"/>
                <w:szCs w:val="24"/>
              </w:rPr>
              <w:t>Charters</w:t>
            </w:r>
          </w:p>
        </w:tc>
        <w:tc>
          <w:tcPr>
            <w:tcW w:w="2017" w:type="dxa"/>
            <w:tcBorders>
              <w:top w:val="nil"/>
              <w:left w:val="nil"/>
              <w:bottom w:val="nil"/>
              <w:right w:val="nil"/>
            </w:tcBorders>
            <w:shd w:val="clear" w:color="auto" w:fill="auto"/>
            <w:noWrap/>
            <w:vAlign w:val="bottom"/>
            <w:hideMark/>
          </w:tcPr>
          <w:p w14:paraId="5814FC2B" w14:textId="77777777" w:rsidR="00700047" w:rsidRPr="00FF5A48" w:rsidRDefault="00700047" w:rsidP="00AA25EB">
            <w:pPr>
              <w:ind w:left="180"/>
              <w:rPr>
                <w:rFonts w:eastAsia="Times New Roman"/>
                <w:color w:val="000000"/>
                <w:position w:val="0"/>
                <w:sz w:val="24"/>
                <w:szCs w:val="24"/>
              </w:rPr>
            </w:pPr>
            <w:r w:rsidRPr="00FF5A48">
              <w:rPr>
                <w:rFonts w:eastAsia="Times New Roman"/>
                <w:color w:val="000000"/>
                <w:position w:val="0"/>
                <w:sz w:val="24"/>
                <w:szCs w:val="24"/>
              </w:rPr>
              <w:t>Non-Charters</w:t>
            </w:r>
          </w:p>
        </w:tc>
      </w:tr>
      <w:tr w:rsidR="00700047" w:rsidRPr="00FF5A48" w14:paraId="772F7F6C" w14:textId="77777777" w:rsidTr="00FF5A48">
        <w:trPr>
          <w:trHeight w:val="320"/>
        </w:trPr>
        <w:tc>
          <w:tcPr>
            <w:tcW w:w="3578" w:type="dxa"/>
            <w:tcBorders>
              <w:top w:val="nil"/>
              <w:left w:val="nil"/>
              <w:bottom w:val="nil"/>
              <w:right w:val="nil"/>
            </w:tcBorders>
            <w:shd w:val="clear" w:color="auto" w:fill="auto"/>
            <w:vAlign w:val="bottom"/>
            <w:hideMark/>
          </w:tcPr>
          <w:p w14:paraId="7938B67E" w14:textId="77777777" w:rsidR="00700047" w:rsidRPr="00FF5A48" w:rsidRDefault="00700047" w:rsidP="00AA25EB">
            <w:pPr>
              <w:ind w:left="180"/>
              <w:rPr>
                <w:rFonts w:eastAsia="Times New Roman"/>
                <w:color w:val="000000"/>
                <w:position w:val="0"/>
                <w:sz w:val="24"/>
                <w:szCs w:val="24"/>
              </w:rPr>
            </w:pPr>
            <w:r w:rsidRPr="00FF5A48">
              <w:rPr>
                <w:rFonts w:eastAsia="Times New Roman"/>
                <w:color w:val="000000"/>
                <w:position w:val="0"/>
                <w:sz w:val="24"/>
                <w:szCs w:val="24"/>
              </w:rPr>
              <w:t>Latino--</w:t>
            </w:r>
          </w:p>
        </w:tc>
        <w:tc>
          <w:tcPr>
            <w:tcW w:w="1380" w:type="dxa"/>
            <w:tcBorders>
              <w:top w:val="nil"/>
              <w:left w:val="nil"/>
              <w:bottom w:val="nil"/>
              <w:right w:val="nil"/>
            </w:tcBorders>
            <w:shd w:val="clear" w:color="auto" w:fill="auto"/>
            <w:noWrap/>
            <w:vAlign w:val="bottom"/>
            <w:hideMark/>
          </w:tcPr>
          <w:p w14:paraId="0FBDF843" w14:textId="77777777" w:rsidR="00700047" w:rsidRPr="00FF5A48" w:rsidRDefault="00700047" w:rsidP="00AA25EB">
            <w:pPr>
              <w:ind w:left="180"/>
              <w:jc w:val="right"/>
              <w:rPr>
                <w:rFonts w:eastAsia="Times New Roman"/>
                <w:color w:val="000000"/>
                <w:position w:val="0"/>
                <w:sz w:val="24"/>
                <w:szCs w:val="24"/>
              </w:rPr>
            </w:pPr>
            <w:r w:rsidRPr="00FF5A48">
              <w:rPr>
                <w:rFonts w:eastAsia="Times New Roman"/>
                <w:color w:val="000000"/>
                <w:position w:val="0"/>
                <w:sz w:val="24"/>
                <w:szCs w:val="24"/>
              </w:rPr>
              <w:t>50%</w:t>
            </w:r>
          </w:p>
        </w:tc>
        <w:tc>
          <w:tcPr>
            <w:tcW w:w="2017" w:type="dxa"/>
            <w:tcBorders>
              <w:top w:val="nil"/>
              <w:left w:val="nil"/>
              <w:bottom w:val="nil"/>
              <w:right w:val="nil"/>
            </w:tcBorders>
            <w:shd w:val="clear" w:color="auto" w:fill="auto"/>
            <w:noWrap/>
            <w:vAlign w:val="bottom"/>
            <w:hideMark/>
          </w:tcPr>
          <w:p w14:paraId="05E9D8D1" w14:textId="77777777" w:rsidR="00700047" w:rsidRPr="00FF5A48" w:rsidRDefault="00700047" w:rsidP="00AA25EB">
            <w:pPr>
              <w:ind w:left="180"/>
              <w:jc w:val="right"/>
              <w:rPr>
                <w:rFonts w:eastAsia="Times New Roman"/>
                <w:color w:val="000000"/>
                <w:position w:val="0"/>
                <w:sz w:val="24"/>
                <w:szCs w:val="24"/>
              </w:rPr>
            </w:pPr>
            <w:r w:rsidRPr="00FF5A48">
              <w:rPr>
                <w:rFonts w:eastAsia="Times New Roman"/>
                <w:color w:val="000000"/>
                <w:position w:val="0"/>
                <w:sz w:val="24"/>
                <w:szCs w:val="24"/>
              </w:rPr>
              <w:t>54%</w:t>
            </w:r>
          </w:p>
        </w:tc>
      </w:tr>
      <w:tr w:rsidR="00700047" w:rsidRPr="00FF5A48" w14:paraId="332E2183" w14:textId="77777777" w:rsidTr="00FF5A48">
        <w:trPr>
          <w:trHeight w:val="320"/>
        </w:trPr>
        <w:tc>
          <w:tcPr>
            <w:tcW w:w="3578" w:type="dxa"/>
            <w:tcBorders>
              <w:top w:val="nil"/>
              <w:left w:val="nil"/>
              <w:bottom w:val="nil"/>
              <w:right w:val="nil"/>
            </w:tcBorders>
            <w:shd w:val="clear" w:color="auto" w:fill="auto"/>
            <w:vAlign w:val="bottom"/>
            <w:hideMark/>
          </w:tcPr>
          <w:p w14:paraId="74384698" w14:textId="77777777" w:rsidR="00700047" w:rsidRPr="00FF5A48" w:rsidRDefault="00700047" w:rsidP="00AA25EB">
            <w:pPr>
              <w:ind w:left="180"/>
              <w:rPr>
                <w:rFonts w:eastAsia="Times New Roman"/>
                <w:color w:val="000000"/>
                <w:position w:val="0"/>
                <w:sz w:val="24"/>
                <w:szCs w:val="24"/>
              </w:rPr>
            </w:pPr>
            <w:r w:rsidRPr="00FF5A48">
              <w:rPr>
                <w:rFonts w:eastAsia="Times New Roman"/>
                <w:color w:val="000000"/>
                <w:position w:val="0"/>
                <w:sz w:val="24"/>
                <w:szCs w:val="24"/>
              </w:rPr>
              <w:t>African-American--</w:t>
            </w:r>
          </w:p>
        </w:tc>
        <w:tc>
          <w:tcPr>
            <w:tcW w:w="1380" w:type="dxa"/>
            <w:tcBorders>
              <w:top w:val="nil"/>
              <w:left w:val="nil"/>
              <w:bottom w:val="nil"/>
              <w:right w:val="nil"/>
            </w:tcBorders>
            <w:shd w:val="clear" w:color="auto" w:fill="auto"/>
            <w:noWrap/>
            <w:vAlign w:val="bottom"/>
            <w:hideMark/>
          </w:tcPr>
          <w:p w14:paraId="2DF938DF" w14:textId="77777777" w:rsidR="00700047" w:rsidRPr="00FF5A48" w:rsidRDefault="00700047" w:rsidP="00AA25EB">
            <w:pPr>
              <w:ind w:left="180"/>
              <w:jc w:val="right"/>
              <w:rPr>
                <w:rFonts w:eastAsia="Times New Roman"/>
                <w:color w:val="000000"/>
                <w:position w:val="0"/>
                <w:sz w:val="24"/>
                <w:szCs w:val="24"/>
              </w:rPr>
            </w:pPr>
            <w:r w:rsidRPr="00FF5A48">
              <w:rPr>
                <w:rFonts w:eastAsia="Times New Roman"/>
                <w:color w:val="000000"/>
                <w:position w:val="0"/>
                <w:sz w:val="24"/>
                <w:szCs w:val="24"/>
              </w:rPr>
              <w:t>8%</w:t>
            </w:r>
          </w:p>
        </w:tc>
        <w:tc>
          <w:tcPr>
            <w:tcW w:w="2017" w:type="dxa"/>
            <w:tcBorders>
              <w:top w:val="nil"/>
              <w:left w:val="nil"/>
              <w:bottom w:val="nil"/>
              <w:right w:val="nil"/>
            </w:tcBorders>
            <w:shd w:val="clear" w:color="auto" w:fill="auto"/>
            <w:noWrap/>
            <w:vAlign w:val="bottom"/>
            <w:hideMark/>
          </w:tcPr>
          <w:p w14:paraId="4D077C08" w14:textId="77777777" w:rsidR="00700047" w:rsidRPr="00FF5A48" w:rsidRDefault="00700047" w:rsidP="00AA25EB">
            <w:pPr>
              <w:ind w:left="180"/>
              <w:jc w:val="right"/>
              <w:rPr>
                <w:rFonts w:eastAsia="Times New Roman"/>
                <w:color w:val="000000"/>
                <w:position w:val="0"/>
                <w:sz w:val="24"/>
                <w:szCs w:val="24"/>
              </w:rPr>
            </w:pPr>
            <w:r w:rsidRPr="00FF5A48">
              <w:rPr>
                <w:rFonts w:eastAsia="Times New Roman"/>
                <w:color w:val="000000"/>
                <w:position w:val="0"/>
                <w:sz w:val="24"/>
                <w:szCs w:val="24"/>
              </w:rPr>
              <w:t>6%</w:t>
            </w:r>
          </w:p>
        </w:tc>
      </w:tr>
      <w:tr w:rsidR="00700047" w:rsidRPr="00FF5A48" w14:paraId="5BCDC9CD" w14:textId="77777777" w:rsidTr="00FF5A48">
        <w:trPr>
          <w:trHeight w:val="320"/>
        </w:trPr>
        <w:tc>
          <w:tcPr>
            <w:tcW w:w="3578" w:type="dxa"/>
            <w:tcBorders>
              <w:top w:val="nil"/>
              <w:left w:val="nil"/>
              <w:bottom w:val="nil"/>
              <w:right w:val="nil"/>
            </w:tcBorders>
            <w:shd w:val="clear" w:color="auto" w:fill="auto"/>
            <w:vAlign w:val="bottom"/>
            <w:hideMark/>
          </w:tcPr>
          <w:p w14:paraId="0BC879EE" w14:textId="77777777" w:rsidR="00700047" w:rsidRPr="00FF5A48" w:rsidRDefault="00700047" w:rsidP="00AA25EB">
            <w:pPr>
              <w:ind w:left="180"/>
              <w:rPr>
                <w:rFonts w:eastAsia="Times New Roman"/>
                <w:color w:val="000000"/>
                <w:position w:val="0"/>
                <w:sz w:val="24"/>
                <w:szCs w:val="24"/>
              </w:rPr>
            </w:pPr>
            <w:r w:rsidRPr="00FF5A48">
              <w:rPr>
                <w:rFonts w:eastAsia="Times New Roman"/>
                <w:color w:val="000000"/>
                <w:position w:val="0"/>
                <w:sz w:val="24"/>
                <w:szCs w:val="24"/>
              </w:rPr>
              <w:t>White--</w:t>
            </w:r>
          </w:p>
        </w:tc>
        <w:tc>
          <w:tcPr>
            <w:tcW w:w="1380" w:type="dxa"/>
            <w:tcBorders>
              <w:top w:val="nil"/>
              <w:left w:val="nil"/>
              <w:bottom w:val="nil"/>
              <w:right w:val="nil"/>
            </w:tcBorders>
            <w:shd w:val="clear" w:color="auto" w:fill="auto"/>
            <w:noWrap/>
            <w:vAlign w:val="bottom"/>
            <w:hideMark/>
          </w:tcPr>
          <w:p w14:paraId="24FA630C" w14:textId="77777777" w:rsidR="00700047" w:rsidRPr="00FF5A48" w:rsidRDefault="00700047" w:rsidP="00AA25EB">
            <w:pPr>
              <w:ind w:left="180"/>
              <w:jc w:val="right"/>
              <w:rPr>
                <w:rFonts w:eastAsia="Times New Roman"/>
                <w:color w:val="000000"/>
                <w:position w:val="0"/>
                <w:sz w:val="24"/>
                <w:szCs w:val="24"/>
              </w:rPr>
            </w:pPr>
            <w:r w:rsidRPr="00FF5A48">
              <w:rPr>
                <w:rFonts w:eastAsia="Times New Roman"/>
                <w:color w:val="000000"/>
                <w:position w:val="0"/>
                <w:sz w:val="24"/>
                <w:szCs w:val="24"/>
              </w:rPr>
              <w:t>29%</w:t>
            </w:r>
          </w:p>
        </w:tc>
        <w:tc>
          <w:tcPr>
            <w:tcW w:w="2017" w:type="dxa"/>
            <w:tcBorders>
              <w:top w:val="nil"/>
              <w:left w:val="nil"/>
              <w:bottom w:val="nil"/>
              <w:right w:val="nil"/>
            </w:tcBorders>
            <w:shd w:val="clear" w:color="auto" w:fill="auto"/>
            <w:noWrap/>
            <w:vAlign w:val="bottom"/>
            <w:hideMark/>
          </w:tcPr>
          <w:p w14:paraId="34B6970E" w14:textId="77777777" w:rsidR="00700047" w:rsidRPr="00FF5A48" w:rsidRDefault="00700047" w:rsidP="00AA25EB">
            <w:pPr>
              <w:ind w:left="180"/>
              <w:jc w:val="right"/>
              <w:rPr>
                <w:rFonts w:eastAsia="Times New Roman"/>
                <w:color w:val="000000"/>
                <w:position w:val="0"/>
                <w:sz w:val="24"/>
                <w:szCs w:val="24"/>
              </w:rPr>
            </w:pPr>
            <w:r w:rsidRPr="00FF5A48">
              <w:rPr>
                <w:rFonts w:eastAsia="Times New Roman"/>
                <w:color w:val="000000"/>
                <w:position w:val="0"/>
                <w:sz w:val="24"/>
                <w:szCs w:val="24"/>
              </w:rPr>
              <w:t>24%</w:t>
            </w:r>
          </w:p>
        </w:tc>
      </w:tr>
      <w:tr w:rsidR="00700047" w:rsidRPr="00FF5A48" w14:paraId="60C58E81" w14:textId="77777777" w:rsidTr="00FF5A48">
        <w:trPr>
          <w:trHeight w:val="320"/>
        </w:trPr>
        <w:tc>
          <w:tcPr>
            <w:tcW w:w="3578" w:type="dxa"/>
            <w:tcBorders>
              <w:top w:val="nil"/>
              <w:left w:val="nil"/>
              <w:bottom w:val="nil"/>
              <w:right w:val="nil"/>
            </w:tcBorders>
            <w:shd w:val="clear" w:color="auto" w:fill="auto"/>
            <w:vAlign w:val="bottom"/>
            <w:hideMark/>
          </w:tcPr>
          <w:p w14:paraId="00C3B5E3" w14:textId="77777777" w:rsidR="00700047" w:rsidRPr="00FF5A48" w:rsidRDefault="00700047" w:rsidP="00AA25EB">
            <w:pPr>
              <w:ind w:left="180"/>
              <w:rPr>
                <w:rFonts w:eastAsia="Times New Roman"/>
                <w:color w:val="000000"/>
                <w:position w:val="0"/>
                <w:sz w:val="24"/>
                <w:szCs w:val="24"/>
              </w:rPr>
            </w:pPr>
            <w:r w:rsidRPr="00FF5A48">
              <w:rPr>
                <w:rFonts w:eastAsia="Times New Roman"/>
                <w:color w:val="000000"/>
                <w:position w:val="0"/>
                <w:sz w:val="24"/>
                <w:szCs w:val="24"/>
              </w:rPr>
              <w:t>Asian--</w:t>
            </w:r>
          </w:p>
        </w:tc>
        <w:tc>
          <w:tcPr>
            <w:tcW w:w="1380" w:type="dxa"/>
            <w:tcBorders>
              <w:top w:val="nil"/>
              <w:left w:val="nil"/>
              <w:bottom w:val="nil"/>
              <w:right w:val="nil"/>
            </w:tcBorders>
            <w:shd w:val="clear" w:color="auto" w:fill="auto"/>
            <w:noWrap/>
            <w:vAlign w:val="bottom"/>
            <w:hideMark/>
          </w:tcPr>
          <w:p w14:paraId="6F2574F8" w14:textId="77777777" w:rsidR="00700047" w:rsidRPr="00FF5A48" w:rsidRDefault="00700047" w:rsidP="00AA25EB">
            <w:pPr>
              <w:ind w:left="180"/>
              <w:jc w:val="right"/>
              <w:rPr>
                <w:rFonts w:eastAsia="Times New Roman"/>
                <w:color w:val="000000"/>
                <w:position w:val="0"/>
                <w:sz w:val="24"/>
                <w:szCs w:val="24"/>
              </w:rPr>
            </w:pPr>
            <w:r w:rsidRPr="00FF5A48">
              <w:rPr>
                <w:rFonts w:eastAsia="Times New Roman"/>
                <w:color w:val="000000"/>
                <w:position w:val="0"/>
                <w:sz w:val="24"/>
                <w:szCs w:val="24"/>
              </w:rPr>
              <w:t>5%</w:t>
            </w:r>
          </w:p>
        </w:tc>
        <w:tc>
          <w:tcPr>
            <w:tcW w:w="2017" w:type="dxa"/>
            <w:tcBorders>
              <w:top w:val="nil"/>
              <w:left w:val="nil"/>
              <w:bottom w:val="nil"/>
              <w:right w:val="nil"/>
            </w:tcBorders>
            <w:shd w:val="clear" w:color="auto" w:fill="auto"/>
            <w:noWrap/>
            <w:vAlign w:val="bottom"/>
            <w:hideMark/>
          </w:tcPr>
          <w:p w14:paraId="0B052E15" w14:textId="77777777" w:rsidR="00700047" w:rsidRPr="00FF5A48" w:rsidRDefault="00700047" w:rsidP="00AA25EB">
            <w:pPr>
              <w:ind w:left="180"/>
              <w:jc w:val="right"/>
              <w:rPr>
                <w:rFonts w:eastAsia="Times New Roman"/>
                <w:color w:val="000000"/>
                <w:position w:val="0"/>
                <w:sz w:val="24"/>
                <w:szCs w:val="24"/>
              </w:rPr>
            </w:pPr>
            <w:r w:rsidRPr="00FF5A48">
              <w:rPr>
                <w:rFonts w:eastAsia="Times New Roman"/>
                <w:color w:val="000000"/>
                <w:position w:val="0"/>
                <w:sz w:val="24"/>
                <w:szCs w:val="24"/>
              </w:rPr>
              <w:t>9%</w:t>
            </w:r>
          </w:p>
        </w:tc>
      </w:tr>
      <w:tr w:rsidR="00700047" w:rsidRPr="00FF5A48" w14:paraId="620B45C9" w14:textId="77777777" w:rsidTr="00FF5A48">
        <w:trPr>
          <w:trHeight w:val="320"/>
        </w:trPr>
        <w:tc>
          <w:tcPr>
            <w:tcW w:w="3578" w:type="dxa"/>
            <w:tcBorders>
              <w:top w:val="nil"/>
              <w:left w:val="nil"/>
              <w:bottom w:val="nil"/>
              <w:right w:val="nil"/>
            </w:tcBorders>
            <w:shd w:val="clear" w:color="auto" w:fill="auto"/>
            <w:vAlign w:val="bottom"/>
            <w:hideMark/>
          </w:tcPr>
          <w:p w14:paraId="15F8D185" w14:textId="77777777" w:rsidR="00700047" w:rsidRPr="00FF5A48" w:rsidRDefault="00700047" w:rsidP="00AA25EB">
            <w:pPr>
              <w:ind w:left="180"/>
              <w:rPr>
                <w:rFonts w:eastAsia="Times New Roman"/>
                <w:color w:val="000000"/>
                <w:position w:val="0"/>
                <w:sz w:val="24"/>
                <w:szCs w:val="24"/>
              </w:rPr>
            </w:pPr>
            <w:r w:rsidRPr="00FF5A48">
              <w:rPr>
                <w:rFonts w:eastAsia="Times New Roman"/>
                <w:color w:val="000000"/>
                <w:position w:val="0"/>
                <w:sz w:val="24"/>
                <w:szCs w:val="24"/>
              </w:rPr>
              <w:t>Other*--</w:t>
            </w:r>
          </w:p>
        </w:tc>
        <w:tc>
          <w:tcPr>
            <w:tcW w:w="1380" w:type="dxa"/>
            <w:tcBorders>
              <w:top w:val="nil"/>
              <w:left w:val="nil"/>
              <w:bottom w:val="nil"/>
              <w:right w:val="nil"/>
            </w:tcBorders>
            <w:shd w:val="clear" w:color="auto" w:fill="auto"/>
            <w:noWrap/>
            <w:vAlign w:val="bottom"/>
            <w:hideMark/>
          </w:tcPr>
          <w:p w14:paraId="058A88F4" w14:textId="77777777" w:rsidR="00700047" w:rsidRPr="00FF5A48" w:rsidRDefault="00700047" w:rsidP="00AA25EB">
            <w:pPr>
              <w:ind w:left="180"/>
              <w:jc w:val="right"/>
              <w:rPr>
                <w:rFonts w:eastAsia="Times New Roman"/>
                <w:color w:val="000000"/>
                <w:position w:val="0"/>
                <w:sz w:val="24"/>
                <w:szCs w:val="24"/>
              </w:rPr>
            </w:pPr>
            <w:r w:rsidRPr="00FF5A48">
              <w:rPr>
                <w:rFonts w:eastAsia="Times New Roman"/>
                <w:color w:val="000000"/>
                <w:position w:val="0"/>
                <w:sz w:val="24"/>
                <w:szCs w:val="24"/>
              </w:rPr>
              <w:t>8%</w:t>
            </w:r>
          </w:p>
        </w:tc>
        <w:tc>
          <w:tcPr>
            <w:tcW w:w="2017" w:type="dxa"/>
            <w:tcBorders>
              <w:top w:val="nil"/>
              <w:left w:val="nil"/>
              <w:bottom w:val="nil"/>
              <w:right w:val="nil"/>
            </w:tcBorders>
            <w:shd w:val="clear" w:color="auto" w:fill="auto"/>
            <w:noWrap/>
            <w:vAlign w:val="bottom"/>
            <w:hideMark/>
          </w:tcPr>
          <w:p w14:paraId="2EB49D82" w14:textId="77777777" w:rsidR="00700047" w:rsidRPr="00FF5A48" w:rsidRDefault="00700047" w:rsidP="00AA25EB">
            <w:pPr>
              <w:ind w:left="180"/>
              <w:jc w:val="right"/>
              <w:rPr>
                <w:rFonts w:eastAsia="Times New Roman"/>
                <w:color w:val="000000"/>
                <w:position w:val="0"/>
                <w:sz w:val="24"/>
                <w:szCs w:val="24"/>
              </w:rPr>
            </w:pPr>
            <w:r w:rsidRPr="00FF5A48">
              <w:rPr>
                <w:rFonts w:eastAsia="Times New Roman"/>
                <w:color w:val="000000"/>
                <w:position w:val="0"/>
                <w:sz w:val="24"/>
                <w:szCs w:val="24"/>
              </w:rPr>
              <w:t>7%</w:t>
            </w:r>
          </w:p>
        </w:tc>
      </w:tr>
      <w:tr w:rsidR="00700047" w:rsidRPr="00FF5A48" w14:paraId="3D845E06" w14:textId="77777777" w:rsidTr="00FF5A48">
        <w:trPr>
          <w:trHeight w:val="320"/>
        </w:trPr>
        <w:tc>
          <w:tcPr>
            <w:tcW w:w="3578" w:type="dxa"/>
            <w:tcBorders>
              <w:top w:val="nil"/>
              <w:left w:val="nil"/>
              <w:bottom w:val="nil"/>
              <w:right w:val="nil"/>
            </w:tcBorders>
            <w:shd w:val="clear" w:color="auto" w:fill="auto"/>
            <w:vAlign w:val="bottom"/>
            <w:hideMark/>
          </w:tcPr>
          <w:p w14:paraId="65812DBF" w14:textId="77777777" w:rsidR="00700047" w:rsidRPr="00FF5A48" w:rsidRDefault="00700047" w:rsidP="00AA25EB">
            <w:pPr>
              <w:ind w:left="180"/>
              <w:rPr>
                <w:rFonts w:eastAsia="Times New Roman"/>
                <w:color w:val="000000"/>
                <w:position w:val="0"/>
                <w:sz w:val="24"/>
                <w:szCs w:val="24"/>
              </w:rPr>
            </w:pPr>
            <w:r w:rsidRPr="00FF5A48">
              <w:rPr>
                <w:rFonts w:eastAsia="Times New Roman"/>
                <w:color w:val="000000"/>
                <w:position w:val="0"/>
                <w:sz w:val="24"/>
                <w:szCs w:val="24"/>
              </w:rPr>
              <w:t>English Learners--</w:t>
            </w:r>
          </w:p>
        </w:tc>
        <w:tc>
          <w:tcPr>
            <w:tcW w:w="1380" w:type="dxa"/>
            <w:tcBorders>
              <w:top w:val="nil"/>
              <w:left w:val="nil"/>
              <w:bottom w:val="nil"/>
              <w:right w:val="nil"/>
            </w:tcBorders>
            <w:shd w:val="clear" w:color="auto" w:fill="auto"/>
            <w:noWrap/>
            <w:vAlign w:val="bottom"/>
            <w:hideMark/>
          </w:tcPr>
          <w:p w14:paraId="27C4F0A6" w14:textId="77777777" w:rsidR="00700047" w:rsidRPr="00FF5A48" w:rsidRDefault="00700047" w:rsidP="00AA25EB">
            <w:pPr>
              <w:ind w:left="180"/>
              <w:jc w:val="right"/>
              <w:rPr>
                <w:rFonts w:eastAsia="Times New Roman"/>
                <w:color w:val="000000"/>
                <w:position w:val="0"/>
                <w:sz w:val="24"/>
                <w:szCs w:val="24"/>
              </w:rPr>
            </w:pPr>
            <w:r w:rsidRPr="00FF5A48">
              <w:rPr>
                <w:rFonts w:eastAsia="Times New Roman"/>
                <w:color w:val="000000"/>
                <w:position w:val="0"/>
                <w:sz w:val="24"/>
                <w:szCs w:val="24"/>
              </w:rPr>
              <w:t>17%</w:t>
            </w:r>
          </w:p>
        </w:tc>
        <w:tc>
          <w:tcPr>
            <w:tcW w:w="2017" w:type="dxa"/>
            <w:tcBorders>
              <w:top w:val="nil"/>
              <w:left w:val="nil"/>
              <w:bottom w:val="nil"/>
              <w:right w:val="nil"/>
            </w:tcBorders>
            <w:shd w:val="clear" w:color="auto" w:fill="auto"/>
            <w:noWrap/>
            <w:vAlign w:val="bottom"/>
            <w:hideMark/>
          </w:tcPr>
          <w:p w14:paraId="4950D83C" w14:textId="77777777" w:rsidR="00700047" w:rsidRPr="00FF5A48" w:rsidRDefault="00700047" w:rsidP="00AA25EB">
            <w:pPr>
              <w:ind w:left="180"/>
              <w:jc w:val="right"/>
              <w:rPr>
                <w:rFonts w:eastAsia="Times New Roman"/>
                <w:color w:val="000000"/>
                <w:position w:val="0"/>
                <w:sz w:val="24"/>
                <w:szCs w:val="24"/>
              </w:rPr>
            </w:pPr>
            <w:r w:rsidRPr="00FF5A48">
              <w:rPr>
                <w:rFonts w:eastAsia="Times New Roman"/>
                <w:color w:val="000000"/>
                <w:position w:val="0"/>
                <w:sz w:val="24"/>
                <w:szCs w:val="24"/>
              </w:rPr>
              <w:t>23%</w:t>
            </w:r>
          </w:p>
        </w:tc>
      </w:tr>
      <w:tr w:rsidR="00700047" w:rsidRPr="00FF5A48" w14:paraId="1BE56E9F" w14:textId="77777777" w:rsidTr="00FF5A48">
        <w:trPr>
          <w:trHeight w:val="320"/>
        </w:trPr>
        <w:tc>
          <w:tcPr>
            <w:tcW w:w="3578" w:type="dxa"/>
            <w:tcBorders>
              <w:top w:val="nil"/>
              <w:left w:val="nil"/>
              <w:bottom w:val="nil"/>
              <w:right w:val="nil"/>
            </w:tcBorders>
            <w:shd w:val="clear" w:color="auto" w:fill="auto"/>
            <w:vAlign w:val="bottom"/>
            <w:hideMark/>
          </w:tcPr>
          <w:p w14:paraId="1A17D90F" w14:textId="77777777" w:rsidR="00700047" w:rsidRPr="00FF5A48" w:rsidRDefault="00700047" w:rsidP="00AA25EB">
            <w:pPr>
              <w:ind w:left="180"/>
              <w:rPr>
                <w:rFonts w:eastAsia="Times New Roman"/>
                <w:color w:val="000000"/>
                <w:position w:val="0"/>
                <w:sz w:val="24"/>
                <w:szCs w:val="24"/>
              </w:rPr>
            </w:pPr>
            <w:r w:rsidRPr="00FF5A48">
              <w:rPr>
                <w:rFonts w:eastAsia="Times New Roman"/>
                <w:color w:val="000000"/>
                <w:position w:val="0"/>
                <w:sz w:val="24"/>
                <w:szCs w:val="24"/>
              </w:rPr>
              <w:t>Students with Disabilities**--</w:t>
            </w:r>
          </w:p>
        </w:tc>
        <w:tc>
          <w:tcPr>
            <w:tcW w:w="1380" w:type="dxa"/>
            <w:tcBorders>
              <w:top w:val="nil"/>
              <w:left w:val="nil"/>
              <w:bottom w:val="nil"/>
              <w:right w:val="nil"/>
            </w:tcBorders>
            <w:shd w:val="clear" w:color="auto" w:fill="auto"/>
            <w:noWrap/>
            <w:vAlign w:val="bottom"/>
            <w:hideMark/>
          </w:tcPr>
          <w:p w14:paraId="1FEED5DD" w14:textId="77777777" w:rsidR="00700047" w:rsidRPr="00FF5A48" w:rsidRDefault="00A300E2" w:rsidP="00AA25EB">
            <w:pPr>
              <w:ind w:left="180"/>
              <w:jc w:val="right"/>
              <w:rPr>
                <w:rFonts w:eastAsia="Times New Roman"/>
                <w:color w:val="000000"/>
                <w:position w:val="0"/>
                <w:sz w:val="24"/>
                <w:szCs w:val="24"/>
              </w:rPr>
            </w:pPr>
            <w:r w:rsidRPr="00FF5A48">
              <w:rPr>
                <w:rFonts w:eastAsia="Times New Roman"/>
                <w:color w:val="000000"/>
                <w:position w:val="0"/>
                <w:sz w:val="24"/>
                <w:szCs w:val="24"/>
              </w:rPr>
              <w:t>9</w:t>
            </w:r>
            <w:r w:rsidR="00700047" w:rsidRPr="00FF5A48">
              <w:rPr>
                <w:rFonts w:eastAsia="Times New Roman"/>
                <w:color w:val="000000"/>
                <w:position w:val="0"/>
                <w:sz w:val="24"/>
                <w:szCs w:val="24"/>
              </w:rPr>
              <w:t>%</w:t>
            </w:r>
          </w:p>
        </w:tc>
        <w:tc>
          <w:tcPr>
            <w:tcW w:w="2017" w:type="dxa"/>
            <w:tcBorders>
              <w:top w:val="nil"/>
              <w:left w:val="nil"/>
              <w:bottom w:val="nil"/>
              <w:right w:val="nil"/>
            </w:tcBorders>
            <w:shd w:val="clear" w:color="auto" w:fill="auto"/>
            <w:noWrap/>
            <w:vAlign w:val="bottom"/>
            <w:hideMark/>
          </w:tcPr>
          <w:p w14:paraId="288F48B7" w14:textId="77777777" w:rsidR="00700047" w:rsidRPr="00FF5A48" w:rsidRDefault="00A300E2" w:rsidP="00AA25EB">
            <w:pPr>
              <w:ind w:left="180"/>
              <w:jc w:val="right"/>
              <w:rPr>
                <w:rFonts w:eastAsia="Times New Roman"/>
                <w:color w:val="000000"/>
                <w:position w:val="0"/>
                <w:sz w:val="24"/>
                <w:szCs w:val="24"/>
              </w:rPr>
            </w:pPr>
            <w:r w:rsidRPr="00FF5A48">
              <w:rPr>
                <w:rFonts w:eastAsia="Times New Roman"/>
                <w:color w:val="000000"/>
                <w:position w:val="0"/>
                <w:sz w:val="24"/>
                <w:szCs w:val="24"/>
              </w:rPr>
              <w:t>10</w:t>
            </w:r>
            <w:r w:rsidR="00700047" w:rsidRPr="00FF5A48">
              <w:rPr>
                <w:rFonts w:eastAsia="Times New Roman"/>
                <w:color w:val="000000"/>
                <w:position w:val="0"/>
                <w:sz w:val="24"/>
                <w:szCs w:val="24"/>
              </w:rPr>
              <w:t>%</w:t>
            </w:r>
          </w:p>
        </w:tc>
      </w:tr>
      <w:tr w:rsidR="00700047" w:rsidRPr="00FF5A48" w14:paraId="73C9BB1E" w14:textId="77777777" w:rsidTr="00FF5A48">
        <w:trPr>
          <w:trHeight w:val="320"/>
        </w:trPr>
        <w:tc>
          <w:tcPr>
            <w:tcW w:w="3578" w:type="dxa"/>
            <w:tcBorders>
              <w:top w:val="nil"/>
              <w:left w:val="nil"/>
              <w:bottom w:val="nil"/>
              <w:right w:val="nil"/>
            </w:tcBorders>
            <w:shd w:val="clear" w:color="auto" w:fill="auto"/>
            <w:vAlign w:val="bottom"/>
            <w:hideMark/>
          </w:tcPr>
          <w:p w14:paraId="4BD190F1" w14:textId="77777777" w:rsidR="00700047" w:rsidRPr="00FF5A48" w:rsidRDefault="00700047" w:rsidP="00AA25EB">
            <w:pPr>
              <w:ind w:left="180"/>
              <w:rPr>
                <w:rFonts w:eastAsia="Times New Roman"/>
                <w:color w:val="000000"/>
                <w:position w:val="0"/>
                <w:sz w:val="24"/>
                <w:szCs w:val="24"/>
              </w:rPr>
            </w:pPr>
            <w:r w:rsidRPr="00FF5A48">
              <w:rPr>
                <w:rFonts w:eastAsia="Times New Roman"/>
                <w:color w:val="000000"/>
                <w:position w:val="0"/>
                <w:sz w:val="24"/>
                <w:szCs w:val="24"/>
              </w:rPr>
              <w:t>Free and reduced lunch--</w:t>
            </w:r>
          </w:p>
        </w:tc>
        <w:tc>
          <w:tcPr>
            <w:tcW w:w="1380" w:type="dxa"/>
            <w:tcBorders>
              <w:top w:val="nil"/>
              <w:left w:val="nil"/>
              <w:bottom w:val="nil"/>
              <w:right w:val="nil"/>
            </w:tcBorders>
            <w:shd w:val="clear" w:color="auto" w:fill="auto"/>
            <w:noWrap/>
            <w:vAlign w:val="bottom"/>
            <w:hideMark/>
          </w:tcPr>
          <w:p w14:paraId="41B25CD2" w14:textId="77777777" w:rsidR="00700047" w:rsidRPr="00FF5A48" w:rsidRDefault="00700047" w:rsidP="00AA25EB">
            <w:pPr>
              <w:ind w:left="180"/>
              <w:jc w:val="right"/>
              <w:rPr>
                <w:rFonts w:eastAsia="Times New Roman"/>
                <w:color w:val="000000"/>
                <w:position w:val="0"/>
                <w:sz w:val="24"/>
                <w:szCs w:val="24"/>
              </w:rPr>
            </w:pPr>
            <w:r w:rsidRPr="00FF5A48">
              <w:rPr>
                <w:rFonts w:eastAsia="Times New Roman"/>
                <w:color w:val="000000"/>
                <w:position w:val="0"/>
                <w:sz w:val="24"/>
                <w:szCs w:val="24"/>
              </w:rPr>
              <w:t>57%</w:t>
            </w:r>
          </w:p>
        </w:tc>
        <w:tc>
          <w:tcPr>
            <w:tcW w:w="2017" w:type="dxa"/>
            <w:tcBorders>
              <w:top w:val="nil"/>
              <w:left w:val="nil"/>
              <w:bottom w:val="nil"/>
              <w:right w:val="nil"/>
            </w:tcBorders>
            <w:shd w:val="clear" w:color="auto" w:fill="auto"/>
            <w:noWrap/>
            <w:vAlign w:val="bottom"/>
            <w:hideMark/>
          </w:tcPr>
          <w:p w14:paraId="729FB403" w14:textId="77777777" w:rsidR="00700047" w:rsidRPr="00FF5A48" w:rsidRDefault="00700047" w:rsidP="00AA25EB">
            <w:pPr>
              <w:ind w:left="180"/>
              <w:jc w:val="right"/>
              <w:rPr>
                <w:rFonts w:eastAsia="Times New Roman"/>
                <w:color w:val="000000"/>
                <w:position w:val="0"/>
                <w:sz w:val="24"/>
                <w:szCs w:val="24"/>
              </w:rPr>
            </w:pPr>
            <w:r w:rsidRPr="00FF5A48">
              <w:rPr>
                <w:rFonts w:eastAsia="Times New Roman"/>
                <w:color w:val="000000"/>
                <w:position w:val="0"/>
                <w:sz w:val="24"/>
                <w:szCs w:val="24"/>
              </w:rPr>
              <w:t>59%</w:t>
            </w:r>
          </w:p>
        </w:tc>
      </w:tr>
      <w:tr w:rsidR="0012171D" w:rsidRPr="00FF5A48" w14:paraId="6ADCE4A6" w14:textId="77777777" w:rsidTr="00FF5A48">
        <w:trPr>
          <w:trHeight w:val="549"/>
        </w:trPr>
        <w:tc>
          <w:tcPr>
            <w:tcW w:w="3578" w:type="dxa"/>
            <w:tcBorders>
              <w:top w:val="nil"/>
              <w:left w:val="nil"/>
              <w:bottom w:val="nil"/>
              <w:right w:val="nil"/>
            </w:tcBorders>
            <w:shd w:val="clear" w:color="auto" w:fill="auto"/>
            <w:vAlign w:val="bottom"/>
          </w:tcPr>
          <w:p w14:paraId="373CA2D3" w14:textId="13D9829F" w:rsidR="0012171D" w:rsidRPr="00FF5A48" w:rsidRDefault="0012171D" w:rsidP="0012171D">
            <w:pPr>
              <w:rPr>
                <w:rFonts w:eastAsia="Times New Roman"/>
                <w:color w:val="000000"/>
                <w:position w:val="0"/>
                <w:sz w:val="24"/>
                <w:szCs w:val="24"/>
              </w:rPr>
            </w:pPr>
          </w:p>
          <w:p w14:paraId="09BF28F7" w14:textId="77777777" w:rsidR="0012171D" w:rsidRPr="00FF5A48" w:rsidRDefault="0012171D" w:rsidP="0012171D">
            <w:pPr>
              <w:ind w:left="180"/>
              <w:rPr>
                <w:rFonts w:eastAsia="Times New Roman"/>
                <w:color w:val="000000"/>
                <w:position w:val="0"/>
                <w:sz w:val="24"/>
                <w:szCs w:val="24"/>
              </w:rPr>
            </w:pPr>
          </w:p>
        </w:tc>
        <w:tc>
          <w:tcPr>
            <w:tcW w:w="1380" w:type="dxa"/>
            <w:tcBorders>
              <w:top w:val="nil"/>
              <w:left w:val="nil"/>
              <w:bottom w:val="nil"/>
              <w:right w:val="nil"/>
            </w:tcBorders>
            <w:shd w:val="clear" w:color="auto" w:fill="auto"/>
            <w:noWrap/>
            <w:vAlign w:val="bottom"/>
          </w:tcPr>
          <w:p w14:paraId="05932EA7" w14:textId="77777777" w:rsidR="0012171D" w:rsidRPr="00FF5A48" w:rsidRDefault="0012171D" w:rsidP="00AA25EB">
            <w:pPr>
              <w:ind w:left="180"/>
              <w:jc w:val="right"/>
              <w:rPr>
                <w:rFonts w:eastAsia="Times New Roman"/>
                <w:color w:val="000000"/>
                <w:position w:val="0"/>
                <w:sz w:val="24"/>
                <w:szCs w:val="24"/>
              </w:rPr>
            </w:pPr>
          </w:p>
        </w:tc>
        <w:tc>
          <w:tcPr>
            <w:tcW w:w="2017" w:type="dxa"/>
            <w:tcBorders>
              <w:top w:val="nil"/>
              <w:left w:val="nil"/>
              <w:bottom w:val="nil"/>
              <w:right w:val="nil"/>
            </w:tcBorders>
            <w:shd w:val="clear" w:color="auto" w:fill="auto"/>
            <w:noWrap/>
            <w:vAlign w:val="bottom"/>
          </w:tcPr>
          <w:p w14:paraId="7A716281" w14:textId="77777777" w:rsidR="0012171D" w:rsidRPr="00FF5A48" w:rsidRDefault="0012171D" w:rsidP="00AA25EB">
            <w:pPr>
              <w:ind w:left="180"/>
              <w:jc w:val="right"/>
              <w:rPr>
                <w:rFonts w:eastAsia="Times New Roman"/>
                <w:color w:val="000000"/>
                <w:position w:val="0"/>
                <w:sz w:val="24"/>
                <w:szCs w:val="24"/>
              </w:rPr>
            </w:pPr>
          </w:p>
        </w:tc>
      </w:tr>
    </w:tbl>
    <w:p w14:paraId="0DC9BFF4" w14:textId="77777777" w:rsidR="0012171D" w:rsidRPr="00FF5A48" w:rsidRDefault="0012171D" w:rsidP="0012171D">
      <w:pPr>
        <w:ind w:left="180"/>
        <w:rPr>
          <w:rFonts w:eastAsia="Times New Roman"/>
          <w:b/>
          <w:i/>
          <w:color w:val="000000"/>
          <w:position w:val="0"/>
          <w:sz w:val="24"/>
          <w:szCs w:val="24"/>
        </w:rPr>
      </w:pPr>
      <w:r w:rsidRPr="00FF5A48">
        <w:rPr>
          <w:rFonts w:eastAsia="Times New Roman"/>
          <w:b/>
          <w:i/>
          <w:color w:val="000000"/>
          <w:position w:val="0"/>
          <w:sz w:val="24"/>
          <w:szCs w:val="24"/>
        </w:rPr>
        <w:t>Subgroup Results</w:t>
      </w:r>
    </w:p>
    <w:p w14:paraId="0FD5B2CF" w14:textId="077B4033" w:rsidR="0012171D" w:rsidRDefault="0012171D" w:rsidP="0012171D">
      <w:pPr>
        <w:ind w:left="180"/>
        <w:rPr>
          <w:rFonts w:eastAsia="Times New Roman"/>
          <w:color w:val="000000"/>
          <w:position w:val="0"/>
          <w:sz w:val="24"/>
          <w:szCs w:val="24"/>
        </w:rPr>
      </w:pPr>
      <w:r w:rsidRPr="00FF5A48">
        <w:rPr>
          <w:rFonts w:eastAsia="Times New Roman"/>
          <w:color w:val="000000"/>
          <w:position w:val="0"/>
          <w:sz w:val="24"/>
          <w:szCs w:val="24"/>
        </w:rPr>
        <w:t xml:space="preserve">Statewide, charter schools have increased the percent of students meeting and exceeding the standards in both ELA and math. </w:t>
      </w:r>
      <w:r w:rsidR="00FF5A48" w:rsidRPr="00FF5A48">
        <w:rPr>
          <w:rFonts w:eastAsia="Times New Roman"/>
          <w:color w:val="000000"/>
          <w:position w:val="0"/>
          <w:sz w:val="24"/>
          <w:szCs w:val="24"/>
        </w:rPr>
        <w:t xml:space="preserve">For Latino and </w:t>
      </w:r>
      <w:proofErr w:type="gramStart"/>
      <w:r w:rsidR="00FF5A48" w:rsidRPr="00FF5A48">
        <w:rPr>
          <w:rFonts w:eastAsia="Times New Roman"/>
          <w:color w:val="000000"/>
          <w:position w:val="0"/>
          <w:sz w:val="24"/>
          <w:szCs w:val="24"/>
        </w:rPr>
        <w:t>low income</w:t>
      </w:r>
      <w:proofErr w:type="gramEnd"/>
      <w:r w:rsidR="00FF5A48" w:rsidRPr="00FF5A48">
        <w:rPr>
          <w:rFonts w:eastAsia="Times New Roman"/>
          <w:color w:val="000000"/>
          <w:position w:val="0"/>
          <w:sz w:val="24"/>
          <w:szCs w:val="24"/>
        </w:rPr>
        <w:t xml:space="preserve"> students in particular, there has been a greater increase in students meeting and exceeding ELA standards since 2015 than the overall average for all students (see Figure 4). </w:t>
      </w:r>
    </w:p>
    <w:p w14:paraId="19558434" w14:textId="77777777" w:rsidR="00FF5A48" w:rsidRPr="00FF5A48" w:rsidRDefault="00FF5A48" w:rsidP="0012171D">
      <w:pPr>
        <w:ind w:left="180"/>
        <w:rPr>
          <w:rFonts w:eastAsia="Times New Roman"/>
          <w:color w:val="000000"/>
          <w:position w:val="0"/>
          <w:sz w:val="24"/>
          <w:szCs w:val="24"/>
        </w:rPr>
      </w:pPr>
    </w:p>
    <w:p w14:paraId="02FE4C9B" w14:textId="1A92DA05" w:rsidR="00FF5A48" w:rsidRPr="00FF5A48" w:rsidRDefault="00FF5A48" w:rsidP="0012171D">
      <w:pPr>
        <w:ind w:left="180"/>
        <w:rPr>
          <w:rFonts w:eastAsia="Times New Roman"/>
          <w:b/>
          <w:color w:val="000000"/>
          <w:position w:val="0"/>
          <w:szCs w:val="24"/>
        </w:rPr>
      </w:pPr>
      <w:r w:rsidRPr="00FF5A48">
        <w:rPr>
          <w:rFonts w:eastAsia="Times New Roman"/>
          <w:b/>
          <w:color w:val="000000"/>
          <w:position w:val="0"/>
          <w:szCs w:val="24"/>
        </w:rPr>
        <w:t>Figure 4: Percent Met/Exceeded, by subgroups</w:t>
      </w:r>
    </w:p>
    <w:p w14:paraId="1D1C5A9F" w14:textId="77777777" w:rsidR="009A4162" w:rsidRPr="00FF5A48" w:rsidRDefault="009A4162" w:rsidP="00AA25EB">
      <w:pPr>
        <w:ind w:left="180"/>
      </w:pPr>
    </w:p>
    <w:tbl>
      <w:tblPr>
        <w:tblpPr w:leftFromText="180" w:rightFromText="180" w:vertAnchor="text" w:horzAnchor="page" w:tblpX="1040" w:tblpY="-96"/>
        <w:tblW w:w="7800" w:type="dxa"/>
        <w:tblLook w:val="04A0" w:firstRow="1" w:lastRow="0" w:firstColumn="1" w:lastColumn="0" w:noHBand="0" w:noVBand="1"/>
      </w:tblPr>
      <w:tblGrid>
        <w:gridCol w:w="1300"/>
        <w:gridCol w:w="1300"/>
        <w:gridCol w:w="1300"/>
        <w:gridCol w:w="1300"/>
        <w:gridCol w:w="1300"/>
        <w:gridCol w:w="1300"/>
      </w:tblGrid>
      <w:tr w:rsidR="00FF5A48" w:rsidRPr="0012171D" w14:paraId="1BAB5620" w14:textId="77777777" w:rsidTr="00FF5A48">
        <w:trPr>
          <w:trHeight w:val="640"/>
        </w:trPr>
        <w:tc>
          <w:tcPr>
            <w:tcW w:w="1300" w:type="dxa"/>
            <w:tcBorders>
              <w:top w:val="nil"/>
              <w:left w:val="nil"/>
              <w:bottom w:val="nil"/>
              <w:right w:val="nil"/>
            </w:tcBorders>
            <w:shd w:val="clear" w:color="auto" w:fill="auto"/>
            <w:noWrap/>
            <w:vAlign w:val="center"/>
            <w:hideMark/>
          </w:tcPr>
          <w:p w14:paraId="7CC5BBD4" w14:textId="77777777" w:rsidR="00FF5A48" w:rsidRPr="0012171D" w:rsidRDefault="00FF5A48" w:rsidP="00FF5A48">
            <w:pPr>
              <w:rPr>
                <w:color w:val="auto"/>
                <w:position w:val="0"/>
              </w:rPr>
            </w:pPr>
          </w:p>
        </w:tc>
        <w:tc>
          <w:tcPr>
            <w:tcW w:w="1300" w:type="dxa"/>
            <w:tcBorders>
              <w:top w:val="nil"/>
              <w:left w:val="nil"/>
              <w:bottom w:val="nil"/>
              <w:right w:val="nil"/>
            </w:tcBorders>
            <w:shd w:val="clear" w:color="auto" w:fill="auto"/>
            <w:noWrap/>
            <w:vAlign w:val="center"/>
            <w:hideMark/>
          </w:tcPr>
          <w:p w14:paraId="48C3A77B" w14:textId="77777777" w:rsidR="00FF5A48" w:rsidRPr="0012171D" w:rsidRDefault="00FF5A48" w:rsidP="00FF5A48">
            <w:pPr>
              <w:rPr>
                <w:rFonts w:eastAsia="Times New Roman"/>
                <w:color w:val="auto"/>
                <w:position w:val="0"/>
              </w:rPr>
            </w:pPr>
          </w:p>
        </w:tc>
        <w:tc>
          <w:tcPr>
            <w:tcW w:w="1300" w:type="dxa"/>
            <w:tcBorders>
              <w:top w:val="nil"/>
              <w:left w:val="nil"/>
              <w:bottom w:val="nil"/>
              <w:right w:val="nil"/>
            </w:tcBorders>
            <w:shd w:val="clear" w:color="auto" w:fill="auto"/>
            <w:vAlign w:val="center"/>
            <w:hideMark/>
          </w:tcPr>
          <w:p w14:paraId="14FCF014" w14:textId="77777777" w:rsidR="00FF5A48" w:rsidRPr="0012171D" w:rsidRDefault="00FF5A48" w:rsidP="00FF5A48">
            <w:pPr>
              <w:jc w:val="center"/>
              <w:rPr>
                <w:rFonts w:eastAsia="Times New Roman"/>
                <w:color w:val="000000"/>
                <w:position w:val="0"/>
              </w:rPr>
            </w:pPr>
            <w:r w:rsidRPr="0012171D">
              <w:rPr>
                <w:rFonts w:eastAsia="Times New Roman"/>
                <w:color w:val="000000"/>
                <w:position w:val="0"/>
              </w:rPr>
              <w:t>All Students</w:t>
            </w:r>
          </w:p>
        </w:tc>
        <w:tc>
          <w:tcPr>
            <w:tcW w:w="1300" w:type="dxa"/>
            <w:tcBorders>
              <w:top w:val="nil"/>
              <w:left w:val="nil"/>
              <w:bottom w:val="nil"/>
              <w:right w:val="nil"/>
            </w:tcBorders>
            <w:shd w:val="clear" w:color="auto" w:fill="auto"/>
            <w:vAlign w:val="center"/>
            <w:hideMark/>
          </w:tcPr>
          <w:p w14:paraId="4692F34D" w14:textId="77777777" w:rsidR="00FF5A48" w:rsidRPr="0012171D" w:rsidRDefault="00FF5A48" w:rsidP="00FF5A48">
            <w:pPr>
              <w:jc w:val="center"/>
              <w:rPr>
                <w:rFonts w:eastAsia="Times New Roman"/>
                <w:color w:val="000000"/>
                <w:position w:val="0"/>
              </w:rPr>
            </w:pPr>
            <w:r w:rsidRPr="0012171D">
              <w:rPr>
                <w:rFonts w:eastAsia="Times New Roman"/>
                <w:color w:val="000000"/>
                <w:position w:val="0"/>
              </w:rPr>
              <w:t>Latino</w:t>
            </w:r>
          </w:p>
        </w:tc>
        <w:tc>
          <w:tcPr>
            <w:tcW w:w="1300" w:type="dxa"/>
            <w:tcBorders>
              <w:top w:val="nil"/>
              <w:left w:val="nil"/>
              <w:bottom w:val="nil"/>
              <w:right w:val="nil"/>
            </w:tcBorders>
            <w:shd w:val="clear" w:color="auto" w:fill="auto"/>
            <w:vAlign w:val="center"/>
            <w:hideMark/>
          </w:tcPr>
          <w:p w14:paraId="0E8CA81E" w14:textId="77777777" w:rsidR="00FF5A48" w:rsidRPr="0012171D" w:rsidRDefault="00FF5A48" w:rsidP="00FF5A48">
            <w:pPr>
              <w:jc w:val="center"/>
              <w:rPr>
                <w:rFonts w:eastAsia="Times New Roman"/>
                <w:color w:val="000000"/>
                <w:position w:val="0"/>
              </w:rPr>
            </w:pPr>
            <w:r w:rsidRPr="0012171D">
              <w:rPr>
                <w:rFonts w:eastAsia="Times New Roman"/>
                <w:color w:val="000000"/>
                <w:position w:val="0"/>
              </w:rPr>
              <w:t>African American</w:t>
            </w:r>
          </w:p>
        </w:tc>
        <w:tc>
          <w:tcPr>
            <w:tcW w:w="1300" w:type="dxa"/>
            <w:tcBorders>
              <w:top w:val="nil"/>
              <w:left w:val="nil"/>
              <w:bottom w:val="nil"/>
              <w:right w:val="nil"/>
            </w:tcBorders>
            <w:shd w:val="clear" w:color="auto" w:fill="auto"/>
            <w:vAlign w:val="center"/>
            <w:hideMark/>
          </w:tcPr>
          <w:p w14:paraId="451A43E4" w14:textId="77777777" w:rsidR="00FF5A48" w:rsidRPr="0012171D" w:rsidRDefault="00FF5A48" w:rsidP="00FF5A48">
            <w:pPr>
              <w:jc w:val="center"/>
              <w:rPr>
                <w:rFonts w:eastAsia="Times New Roman"/>
                <w:color w:val="000000"/>
                <w:position w:val="0"/>
              </w:rPr>
            </w:pPr>
            <w:r w:rsidRPr="0012171D">
              <w:rPr>
                <w:rFonts w:eastAsia="Times New Roman"/>
                <w:color w:val="000000"/>
                <w:position w:val="0"/>
              </w:rPr>
              <w:t>Low Income</w:t>
            </w:r>
          </w:p>
        </w:tc>
      </w:tr>
      <w:tr w:rsidR="00FF5A48" w:rsidRPr="0012171D" w14:paraId="0CD91B88" w14:textId="77777777" w:rsidTr="00FF5A48">
        <w:trPr>
          <w:trHeight w:val="320"/>
        </w:trPr>
        <w:tc>
          <w:tcPr>
            <w:tcW w:w="13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3CA5E" w14:textId="77777777" w:rsidR="00FF5A48" w:rsidRPr="0012171D" w:rsidRDefault="00FF5A48" w:rsidP="00FF5A48">
            <w:pPr>
              <w:jc w:val="center"/>
              <w:rPr>
                <w:rFonts w:eastAsia="Times New Roman"/>
                <w:color w:val="000000"/>
                <w:position w:val="0"/>
              </w:rPr>
            </w:pPr>
            <w:r w:rsidRPr="0012171D">
              <w:rPr>
                <w:rFonts w:eastAsia="Times New Roman"/>
                <w:color w:val="000000"/>
                <w:position w:val="0"/>
              </w:rPr>
              <w:t>ELA</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14:paraId="6D472939"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2016</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5E056EEF"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50%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17DB127"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45%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E01CEFB"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38%</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466E344C"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43%</w:t>
            </w:r>
          </w:p>
        </w:tc>
      </w:tr>
      <w:tr w:rsidR="00FF5A48" w:rsidRPr="0012171D" w14:paraId="45E2016D" w14:textId="77777777" w:rsidTr="00FF5A48">
        <w:trPr>
          <w:trHeight w:val="320"/>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0001F4AC" w14:textId="77777777" w:rsidR="00FF5A48" w:rsidRPr="0012171D" w:rsidRDefault="00FF5A48" w:rsidP="00FF5A48">
            <w:pPr>
              <w:rPr>
                <w:rFonts w:eastAsia="Times New Roman"/>
                <w:color w:val="000000"/>
                <w:position w:val="0"/>
              </w:rPr>
            </w:pPr>
          </w:p>
        </w:tc>
        <w:tc>
          <w:tcPr>
            <w:tcW w:w="1300" w:type="dxa"/>
            <w:tcBorders>
              <w:top w:val="nil"/>
              <w:left w:val="nil"/>
              <w:bottom w:val="single" w:sz="4" w:space="0" w:color="auto"/>
              <w:right w:val="single" w:sz="4" w:space="0" w:color="auto"/>
            </w:tcBorders>
            <w:shd w:val="clear" w:color="auto" w:fill="auto"/>
            <w:noWrap/>
            <w:vAlign w:val="center"/>
            <w:hideMark/>
          </w:tcPr>
          <w:p w14:paraId="661409CD"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2015</w:t>
            </w:r>
          </w:p>
        </w:tc>
        <w:tc>
          <w:tcPr>
            <w:tcW w:w="1300" w:type="dxa"/>
            <w:tcBorders>
              <w:top w:val="nil"/>
              <w:left w:val="nil"/>
              <w:bottom w:val="single" w:sz="4" w:space="0" w:color="auto"/>
              <w:right w:val="single" w:sz="4" w:space="0" w:color="auto"/>
            </w:tcBorders>
            <w:shd w:val="clear" w:color="auto" w:fill="auto"/>
            <w:noWrap/>
            <w:vAlign w:val="bottom"/>
            <w:hideMark/>
          </w:tcPr>
          <w:p w14:paraId="29C8FAD5"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46%</w:t>
            </w:r>
          </w:p>
        </w:tc>
        <w:tc>
          <w:tcPr>
            <w:tcW w:w="1300" w:type="dxa"/>
            <w:tcBorders>
              <w:top w:val="nil"/>
              <w:left w:val="nil"/>
              <w:bottom w:val="single" w:sz="4" w:space="0" w:color="auto"/>
              <w:right w:val="single" w:sz="4" w:space="0" w:color="auto"/>
            </w:tcBorders>
            <w:shd w:val="clear" w:color="auto" w:fill="auto"/>
            <w:noWrap/>
            <w:vAlign w:val="bottom"/>
            <w:hideMark/>
          </w:tcPr>
          <w:p w14:paraId="1E4B7A4C"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40%</w:t>
            </w:r>
          </w:p>
        </w:tc>
        <w:tc>
          <w:tcPr>
            <w:tcW w:w="1300" w:type="dxa"/>
            <w:tcBorders>
              <w:top w:val="nil"/>
              <w:left w:val="nil"/>
              <w:bottom w:val="single" w:sz="4" w:space="0" w:color="auto"/>
              <w:right w:val="single" w:sz="4" w:space="0" w:color="auto"/>
            </w:tcBorders>
            <w:shd w:val="clear" w:color="auto" w:fill="auto"/>
            <w:noWrap/>
            <w:vAlign w:val="bottom"/>
            <w:hideMark/>
          </w:tcPr>
          <w:p w14:paraId="509F82EF"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35%</w:t>
            </w:r>
          </w:p>
        </w:tc>
        <w:tc>
          <w:tcPr>
            <w:tcW w:w="1300" w:type="dxa"/>
            <w:tcBorders>
              <w:top w:val="nil"/>
              <w:left w:val="nil"/>
              <w:bottom w:val="single" w:sz="4" w:space="0" w:color="auto"/>
              <w:right w:val="single" w:sz="4" w:space="0" w:color="auto"/>
            </w:tcBorders>
            <w:shd w:val="clear" w:color="auto" w:fill="auto"/>
            <w:noWrap/>
            <w:vAlign w:val="bottom"/>
            <w:hideMark/>
          </w:tcPr>
          <w:p w14:paraId="126EF60D"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38%</w:t>
            </w:r>
          </w:p>
        </w:tc>
      </w:tr>
      <w:tr w:rsidR="00FF5A48" w:rsidRPr="0012171D" w14:paraId="4002446F" w14:textId="77777777" w:rsidTr="00FF5A48">
        <w:trPr>
          <w:trHeight w:val="320"/>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0A5D8EFD" w14:textId="77777777" w:rsidR="00FF5A48" w:rsidRPr="0012171D" w:rsidRDefault="00FF5A48" w:rsidP="00FF5A48">
            <w:pPr>
              <w:rPr>
                <w:rFonts w:eastAsia="Times New Roman"/>
                <w:color w:val="000000"/>
                <w:position w:val="0"/>
              </w:rPr>
            </w:pPr>
          </w:p>
        </w:tc>
        <w:tc>
          <w:tcPr>
            <w:tcW w:w="1300" w:type="dxa"/>
            <w:tcBorders>
              <w:top w:val="nil"/>
              <w:left w:val="nil"/>
              <w:bottom w:val="single" w:sz="4" w:space="0" w:color="auto"/>
              <w:right w:val="single" w:sz="4" w:space="0" w:color="auto"/>
            </w:tcBorders>
            <w:shd w:val="clear" w:color="auto" w:fill="auto"/>
            <w:noWrap/>
            <w:vAlign w:val="center"/>
            <w:hideMark/>
          </w:tcPr>
          <w:p w14:paraId="424331F6"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Change</w:t>
            </w:r>
          </w:p>
        </w:tc>
        <w:tc>
          <w:tcPr>
            <w:tcW w:w="1300" w:type="dxa"/>
            <w:tcBorders>
              <w:top w:val="nil"/>
              <w:left w:val="nil"/>
              <w:bottom w:val="single" w:sz="4" w:space="0" w:color="auto"/>
              <w:right w:val="single" w:sz="4" w:space="0" w:color="auto"/>
            </w:tcBorders>
            <w:shd w:val="clear" w:color="auto" w:fill="auto"/>
            <w:noWrap/>
            <w:vAlign w:val="bottom"/>
            <w:hideMark/>
          </w:tcPr>
          <w:p w14:paraId="26E09119"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4%</w:t>
            </w:r>
          </w:p>
        </w:tc>
        <w:tc>
          <w:tcPr>
            <w:tcW w:w="1300" w:type="dxa"/>
            <w:tcBorders>
              <w:top w:val="nil"/>
              <w:left w:val="nil"/>
              <w:bottom w:val="single" w:sz="4" w:space="0" w:color="auto"/>
              <w:right w:val="single" w:sz="4" w:space="0" w:color="auto"/>
            </w:tcBorders>
            <w:shd w:val="clear" w:color="auto" w:fill="auto"/>
            <w:noWrap/>
            <w:vAlign w:val="bottom"/>
            <w:hideMark/>
          </w:tcPr>
          <w:p w14:paraId="102B20AF"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5%</w:t>
            </w:r>
          </w:p>
        </w:tc>
        <w:tc>
          <w:tcPr>
            <w:tcW w:w="1300" w:type="dxa"/>
            <w:tcBorders>
              <w:top w:val="nil"/>
              <w:left w:val="nil"/>
              <w:bottom w:val="single" w:sz="4" w:space="0" w:color="auto"/>
              <w:right w:val="single" w:sz="4" w:space="0" w:color="auto"/>
            </w:tcBorders>
            <w:shd w:val="clear" w:color="auto" w:fill="auto"/>
            <w:noWrap/>
            <w:vAlign w:val="bottom"/>
            <w:hideMark/>
          </w:tcPr>
          <w:p w14:paraId="6191A0AE"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3%</w:t>
            </w:r>
          </w:p>
        </w:tc>
        <w:tc>
          <w:tcPr>
            <w:tcW w:w="1300" w:type="dxa"/>
            <w:tcBorders>
              <w:top w:val="nil"/>
              <w:left w:val="nil"/>
              <w:bottom w:val="single" w:sz="4" w:space="0" w:color="auto"/>
              <w:right w:val="single" w:sz="4" w:space="0" w:color="auto"/>
            </w:tcBorders>
            <w:shd w:val="clear" w:color="auto" w:fill="auto"/>
            <w:noWrap/>
            <w:vAlign w:val="bottom"/>
            <w:hideMark/>
          </w:tcPr>
          <w:p w14:paraId="2ACE1B83"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5%</w:t>
            </w:r>
          </w:p>
        </w:tc>
      </w:tr>
      <w:tr w:rsidR="00FF5A48" w:rsidRPr="0012171D" w14:paraId="174779DB" w14:textId="77777777" w:rsidTr="00FF5A48">
        <w:trPr>
          <w:trHeight w:val="320"/>
        </w:trPr>
        <w:tc>
          <w:tcPr>
            <w:tcW w:w="1300" w:type="dxa"/>
            <w:tcBorders>
              <w:top w:val="nil"/>
              <w:left w:val="nil"/>
              <w:bottom w:val="nil"/>
              <w:right w:val="nil"/>
            </w:tcBorders>
            <w:shd w:val="clear" w:color="auto" w:fill="auto"/>
            <w:noWrap/>
            <w:vAlign w:val="center"/>
            <w:hideMark/>
          </w:tcPr>
          <w:p w14:paraId="320839FB" w14:textId="77777777" w:rsidR="00FF5A48" w:rsidRPr="0012171D" w:rsidRDefault="00FF5A48" w:rsidP="00FF5A48">
            <w:pPr>
              <w:jc w:val="right"/>
              <w:rPr>
                <w:rFonts w:eastAsia="Times New Roman"/>
                <w:color w:val="000000"/>
                <w:position w:val="0"/>
              </w:rPr>
            </w:pPr>
          </w:p>
        </w:tc>
        <w:tc>
          <w:tcPr>
            <w:tcW w:w="1300" w:type="dxa"/>
            <w:tcBorders>
              <w:top w:val="nil"/>
              <w:left w:val="nil"/>
              <w:bottom w:val="nil"/>
              <w:right w:val="nil"/>
            </w:tcBorders>
            <w:shd w:val="clear" w:color="auto" w:fill="auto"/>
            <w:noWrap/>
            <w:vAlign w:val="bottom"/>
            <w:hideMark/>
          </w:tcPr>
          <w:p w14:paraId="00A51BFE" w14:textId="77777777" w:rsidR="00FF5A48" w:rsidRPr="0012171D" w:rsidRDefault="00FF5A48" w:rsidP="00FF5A48">
            <w:pPr>
              <w:jc w:val="center"/>
              <w:rPr>
                <w:rFonts w:eastAsia="Times New Roman"/>
                <w:color w:val="auto"/>
                <w:position w:val="0"/>
              </w:rPr>
            </w:pPr>
          </w:p>
        </w:tc>
        <w:tc>
          <w:tcPr>
            <w:tcW w:w="1300" w:type="dxa"/>
            <w:tcBorders>
              <w:top w:val="nil"/>
              <w:left w:val="nil"/>
              <w:bottom w:val="nil"/>
              <w:right w:val="nil"/>
            </w:tcBorders>
            <w:shd w:val="clear" w:color="auto" w:fill="auto"/>
            <w:noWrap/>
            <w:vAlign w:val="center"/>
            <w:hideMark/>
          </w:tcPr>
          <w:p w14:paraId="592F8F87" w14:textId="77777777" w:rsidR="00FF5A48" w:rsidRPr="0012171D" w:rsidRDefault="00FF5A48" w:rsidP="00FF5A48">
            <w:pPr>
              <w:rPr>
                <w:rFonts w:eastAsia="Times New Roman"/>
                <w:color w:val="auto"/>
                <w:position w:val="0"/>
              </w:rPr>
            </w:pPr>
          </w:p>
        </w:tc>
        <w:tc>
          <w:tcPr>
            <w:tcW w:w="1300" w:type="dxa"/>
            <w:tcBorders>
              <w:top w:val="nil"/>
              <w:left w:val="nil"/>
              <w:bottom w:val="nil"/>
              <w:right w:val="nil"/>
            </w:tcBorders>
            <w:shd w:val="clear" w:color="auto" w:fill="auto"/>
            <w:noWrap/>
            <w:vAlign w:val="center"/>
            <w:hideMark/>
          </w:tcPr>
          <w:p w14:paraId="10A206FD" w14:textId="77777777" w:rsidR="00FF5A48" w:rsidRPr="0012171D" w:rsidRDefault="00FF5A48" w:rsidP="00FF5A48">
            <w:pPr>
              <w:rPr>
                <w:rFonts w:eastAsia="Times New Roman"/>
                <w:color w:val="auto"/>
                <w:position w:val="0"/>
              </w:rPr>
            </w:pPr>
          </w:p>
        </w:tc>
        <w:tc>
          <w:tcPr>
            <w:tcW w:w="1300" w:type="dxa"/>
            <w:tcBorders>
              <w:top w:val="nil"/>
              <w:left w:val="nil"/>
              <w:bottom w:val="nil"/>
              <w:right w:val="nil"/>
            </w:tcBorders>
            <w:shd w:val="clear" w:color="auto" w:fill="auto"/>
            <w:noWrap/>
            <w:vAlign w:val="center"/>
            <w:hideMark/>
          </w:tcPr>
          <w:p w14:paraId="32F2C7CA" w14:textId="77777777" w:rsidR="00FF5A48" w:rsidRPr="0012171D" w:rsidRDefault="00FF5A48" w:rsidP="00FF5A48">
            <w:pPr>
              <w:rPr>
                <w:rFonts w:eastAsia="Times New Roman"/>
                <w:color w:val="auto"/>
                <w:position w:val="0"/>
              </w:rPr>
            </w:pPr>
          </w:p>
        </w:tc>
        <w:tc>
          <w:tcPr>
            <w:tcW w:w="1300" w:type="dxa"/>
            <w:tcBorders>
              <w:top w:val="nil"/>
              <w:left w:val="nil"/>
              <w:bottom w:val="nil"/>
              <w:right w:val="nil"/>
            </w:tcBorders>
            <w:shd w:val="clear" w:color="auto" w:fill="auto"/>
            <w:noWrap/>
            <w:vAlign w:val="center"/>
            <w:hideMark/>
          </w:tcPr>
          <w:p w14:paraId="26E76CD9" w14:textId="77777777" w:rsidR="00FF5A48" w:rsidRPr="0012171D" w:rsidRDefault="00FF5A48" w:rsidP="00FF5A48">
            <w:pPr>
              <w:rPr>
                <w:rFonts w:eastAsia="Times New Roman"/>
                <w:color w:val="auto"/>
                <w:position w:val="0"/>
              </w:rPr>
            </w:pPr>
          </w:p>
        </w:tc>
      </w:tr>
      <w:tr w:rsidR="00FF5A48" w:rsidRPr="0012171D" w14:paraId="50B91545" w14:textId="77777777" w:rsidTr="00FF5A48">
        <w:trPr>
          <w:trHeight w:val="320"/>
        </w:trPr>
        <w:tc>
          <w:tcPr>
            <w:tcW w:w="13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A82CD" w14:textId="77777777" w:rsidR="00FF5A48" w:rsidRPr="0012171D" w:rsidRDefault="00FF5A48" w:rsidP="00FF5A48">
            <w:pPr>
              <w:jc w:val="center"/>
              <w:rPr>
                <w:rFonts w:eastAsia="Times New Roman"/>
                <w:color w:val="000000"/>
                <w:position w:val="0"/>
              </w:rPr>
            </w:pPr>
            <w:r w:rsidRPr="0012171D">
              <w:rPr>
                <w:rFonts w:eastAsia="Times New Roman"/>
                <w:color w:val="000000"/>
                <w:position w:val="0"/>
              </w:rPr>
              <w:t>Math</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14:paraId="1018CDD0"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2016</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29C6826"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35%</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65544D7F"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29%</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6E2DFD37"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22%</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5581F63"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28%</w:t>
            </w:r>
          </w:p>
        </w:tc>
      </w:tr>
      <w:tr w:rsidR="00FF5A48" w:rsidRPr="0012171D" w14:paraId="4C4C02F5" w14:textId="77777777" w:rsidTr="00FF5A48">
        <w:trPr>
          <w:trHeight w:val="320"/>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6771DF17" w14:textId="77777777" w:rsidR="00FF5A48" w:rsidRPr="0012171D" w:rsidRDefault="00FF5A48" w:rsidP="00FF5A48">
            <w:pPr>
              <w:rPr>
                <w:rFonts w:eastAsia="Times New Roman"/>
                <w:color w:val="000000"/>
                <w:position w:val="0"/>
              </w:rPr>
            </w:pPr>
          </w:p>
        </w:tc>
        <w:tc>
          <w:tcPr>
            <w:tcW w:w="1300" w:type="dxa"/>
            <w:tcBorders>
              <w:top w:val="nil"/>
              <w:left w:val="nil"/>
              <w:bottom w:val="single" w:sz="4" w:space="0" w:color="auto"/>
              <w:right w:val="single" w:sz="4" w:space="0" w:color="auto"/>
            </w:tcBorders>
            <w:shd w:val="clear" w:color="auto" w:fill="auto"/>
            <w:noWrap/>
            <w:vAlign w:val="center"/>
            <w:hideMark/>
          </w:tcPr>
          <w:p w14:paraId="16886C32"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2015</w:t>
            </w:r>
          </w:p>
        </w:tc>
        <w:tc>
          <w:tcPr>
            <w:tcW w:w="1300" w:type="dxa"/>
            <w:tcBorders>
              <w:top w:val="nil"/>
              <w:left w:val="nil"/>
              <w:bottom w:val="single" w:sz="4" w:space="0" w:color="auto"/>
              <w:right w:val="single" w:sz="4" w:space="0" w:color="auto"/>
            </w:tcBorders>
            <w:shd w:val="clear" w:color="auto" w:fill="auto"/>
            <w:noWrap/>
            <w:vAlign w:val="bottom"/>
            <w:hideMark/>
          </w:tcPr>
          <w:p w14:paraId="0AAB70CA"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33%</w:t>
            </w:r>
          </w:p>
        </w:tc>
        <w:tc>
          <w:tcPr>
            <w:tcW w:w="1300" w:type="dxa"/>
            <w:tcBorders>
              <w:top w:val="nil"/>
              <w:left w:val="nil"/>
              <w:bottom w:val="single" w:sz="4" w:space="0" w:color="auto"/>
              <w:right w:val="single" w:sz="4" w:space="0" w:color="auto"/>
            </w:tcBorders>
            <w:shd w:val="clear" w:color="auto" w:fill="auto"/>
            <w:noWrap/>
            <w:vAlign w:val="bottom"/>
            <w:hideMark/>
          </w:tcPr>
          <w:p w14:paraId="6E12B8D1"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26%</w:t>
            </w:r>
          </w:p>
        </w:tc>
        <w:tc>
          <w:tcPr>
            <w:tcW w:w="1300" w:type="dxa"/>
            <w:tcBorders>
              <w:top w:val="nil"/>
              <w:left w:val="nil"/>
              <w:bottom w:val="single" w:sz="4" w:space="0" w:color="auto"/>
              <w:right w:val="single" w:sz="4" w:space="0" w:color="auto"/>
            </w:tcBorders>
            <w:shd w:val="clear" w:color="auto" w:fill="auto"/>
            <w:noWrap/>
            <w:vAlign w:val="bottom"/>
            <w:hideMark/>
          </w:tcPr>
          <w:p w14:paraId="5F49160C"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21%</w:t>
            </w:r>
          </w:p>
        </w:tc>
        <w:tc>
          <w:tcPr>
            <w:tcW w:w="1300" w:type="dxa"/>
            <w:tcBorders>
              <w:top w:val="nil"/>
              <w:left w:val="nil"/>
              <w:bottom w:val="single" w:sz="4" w:space="0" w:color="auto"/>
              <w:right w:val="single" w:sz="4" w:space="0" w:color="auto"/>
            </w:tcBorders>
            <w:shd w:val="clear" w:color="auto" w:fill="auto"/>
            <w:noWrap/>
            <w:vAlign w:val="bottom"/>
            <w:hideMark/>
          </w:tcPr>
          <w:p w14:paraId="11DFA866"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25%</w:t>
            </w:r>
          </w:p>
        </w:tc>
      </w:tr>
      <w:tr w:rsidR="00FF5A48" w:rsidRPr="0012171D" w14:paraId="7549552D" w14:textId="77777777" w:rsidTr="00FF5A48">
        <w:trPr>
          <w:trHeight w:val="320"/>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1B1A49CC" w14:textId="77777777" w:rsidR="00FF5A48" w:rsidRPr="0012171D" w:rsidRDefault="00FF5A48" w:rsidP="00FF5A48">
            <w:pPr>
              <w:rPr>
                <w:rFonts w:eastAsia="Times New Roman"/>
                <w:color w:val="000000"/>
                <w:position w:val="0"/>
              </w:rPr>
            </w:pPr>
          </w:p>
        </w:tc>
        <w:tc>
          <w:tcPr>
            <w:tcW w:w="1300" w:type="dxa"/>
            <w:tcBorders>
              <w:top w:val="nil"/>
              <w:left w:val="nil"/>
              <w:bottom w:val="single" w:sz="4" w:space="0" w:color="auto"/>
              <w:right w:val="single" w:sz="4" w:space="0" w:color="auto"/>
            </w:tcBorders>
            <w:shd w:val="clear" w:color="auto" w:fill="auto"/>
            <w:noWrap/>
            <w:vAlign w:val="center"/>
            <w:hideMark/>
          </w:tcPr>
          <w:p w14:paraId="5A8DD3F3"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Change</w:t>
            </w:r>
          </w:p>
        </w:tc>
        <w:tc>
          <w:tcPr>
            <w:tcW w:w="1300" w:type="dxa"/>
            <w:tcBorders>
              <w:top w:val="nil"/>
              <w:left w:val="nil"/>
              <w:bottom w:val="single" w:sz="4" w:space="0" w:color="auto"/>
              <w:right w:val="single" w:sz="4" w:space="0" w:color="auto"/>
            </w:tcBorders>
            <w:shd w:val="clear" w:color="auto" w:fill="auto"/>
            <w:noWrap/>
            <w:vAlign w:val="bottom"/>
            <w:hideMark/>
          </w:tcPr>
          <w:p w14:paraId="0E08FE00"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3%</w:t>
            </w:r>
          </w:p>
        </w:tc>
        <w:tc>
          <w:tcPr>
            <w:tcW w:w="1300" w:type="dxa"/>
            <w:tcBorders>
              <w:top w:val="nil"/>
              <w:left w:val="nil"/>
              <w:bottom w:val="single" w:sz="4" w:space="0" w:color="auto"/>
              <w:right w:val="single" w:sz="4" w:space="0" w:color="auto"/>
            </w:tcBorders>
            <w:shd w:val="clear" w:color="auto" w:fill="auto"/>
            <w:noWrap/>
            <w:vAlign w:val="bottom"/>
            <w:hideMark/>
          </w:tcPr>
          <w:p w14:paraId="0A050EFC"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3%</w:t>
            </w:r>
          </w:p>
        </w:tc>
        <w:tc>
          <w:tcPr>
            <w:tcW w:w="1300" w:type="dxa"/>
            <w:tcBorders>
              <w:top w:val="nil"/>
              <w:left w:val="nil"/>
              <w:bottom w:val="single" w:sz="4" w:space="0" w:color="auto"/>
              <w:right w:val="single" w:sz="4" w:space="0" w:color="auto"/>
            </w:tcBorders>
            <w:shd w:val="clear" w:color="auto" w:fill="auto"/>
            <w:noWrap/>
            <w:vAlign w:val="bottom"/>
            <w:hideMark/>
          </w:tcPr>
          <w:p w14:paraId="7F1C89DF"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2%</w:t>
            </w:r>
          </w:p>
        </w:tc>
        <w:tc>
          <w:tcPr>
            <w:tcW w:w="1300" w:type="dxa"/>
            <w:tcBorders>
              <w:top w:val="nil"/>
              <w:left w:val="nil"/>
              <w:bottom w:val="single" w:sz="4" w:space="0" w:color="auto"/>
              <w:right w:val="single" w:sz="4" w:space="0" w:color="auto"/>
            </w:tcBorders>
            <w:shd w:val="clear" w:color="auto" w:fill="auto"/>
            <w:noWrap/>
            <w:vAlign w:val="bottom"/>
            <w:hideMark/>
          </w:tcPr>
          <w:p w14:paraId="04E2364A" w14:textId="77777777" w:rsidR="00FF5A48" w:rsidRPr="0012171D" w:rsidRDefault="00FF5A48" w:rsidP="00FF5A48">
            <w:pPr>
              <w:jc w:val="right"/>
              <w:rPr>
                <w:rFonts w:eastAsia="Times New Roman"/>
                <w:color w:val="000000"/>
                <w:position w:val="0"/>
              </w:rPr>
            </w:pPr>
            <w:r w:rsidRPr="0012171D">
              <w:rPr>
                <w:rFonts w:eastAsia="Times New Roman"/>
                <w:color w:val="000000"/>
                <w:position w:val="0"/>
              </w:rPr>
              <w:t>3%</w:t>
            </w:r>
          </w:p>
        </w:tc>
      </w:tr>
    </w:tbl>
    <w:p w14:paraId="65FF2BA3" w14:textId="77777777" w:rsidR="000D55C0" w:rsidRPr="00FF5A48" w:rsidRDefault="000D55C0" w:rsidP="00AA25EB">
      <w:pPr>
        <w:spacing w:after="120"/>
        <w:ind w:left="180"/>
        <w:rPr>
          <w:b/>
          <w:u w:val="single"/>
        </w:rPr>
      </w:pPr>
    </w:p>
    <w:p w14:paraId="0F7B0CAD" w14:textId="77777777" w:rsidR="0012171D" w:rsidRPr="00FF5A48" w:rsidRDefault="0012171D" w:rsidP="00AA25EB">
      <w:pPr>
        <w:spacing w:after="120"/>
        <w:ind w:left="180"/>
        <w:rPr>
          <w:b/>
          <w:u w:val="single"/>
        </w:rPr>
      </w:pPr>
    </w:p>
    <w:p w14:paraId="7EA1F607" w14:textId="77777777" w:rsidR="0012171D" w:rsidRPr="00FF5A48" w:rsidRDefault="0012171D" w:rsidP="00AA25EB">
      <w:pPr>
        <w:spacing w:after="120"/>
        <w:ind w:left="180"/>
        <w:rPr>
          <w:b/>
          <w:u w:val="single"/>
        </w:rPr>
      </w:pPr>
    </w:p>
    <w:p w14:paraId="266858B1" w14:textId="77777777" w:rsidR="0012171D" w:rsidRPr="00FF5A48" w:rsidRDefault="0012171D" w:rsidP="00AA25EB">
      <w:pPr>
        <w:spacing w:after="120"/>
        <w:ind w:left="180"/>
        <w:rPr>
          <w:b/>
          <w:u w:val="single"/>
        </w:rPr>
      </w:pPr>
    </w:p>
    <w:p w14:paraId="0C1F3261" w14:textId="77777777" w:rsidR="0012171D" w:rsidRPr="00FF5A48" w:rsidRDefault="0012171D" w:rsidP="00AA25EB">
      <w:pPr>
        <w:spacing w:after="120"/>
        <w:ind w:left="180"/>
        <w:rPr>
          <w:b/>
          <w:u w:val="single"/>
        </w:rPr>
      </w:pPr>
    </w:p>
    <w:p w14:paraId="23DC6FEF" w14:textId="77777777" w:rsidR="0012171D" w:rsidRPr="00FF5A48" w:rsidRDefault="0012171D" w:rsidP="00AA25EB">
      <w:pPr>
        <w:spacing w:after="120"/>
        <w:ind w:left="180"/>
        <w:rPr>
          <w:b/>
          <w:u w:val="single"/>
        </w:rPr>
      </w:pPr>
    </w:p>
    <w:p w14:paraId="5ABEDC3E" w14:textId="77777777" w:rsidR="0012171D" w:rsidRPr="00FF5A48" w:rsidRDefault="0012171D" w:rsidP="00AA25EB">
      <w:pPr>
        <w:spacing w:after="120"/>
        <w:ind w:left="180"/>
        <w:rPr>
          <w:b/>
          <w:u w:val="single"/>
        </w:rPr>
      </w:pPr>
    </w:p>
    <w:p w14:paraId="67142E1B" w14:textId="77777777" w:rsidR="0012171D" w:rsidRPr="00FF5A48" w:rsidRDefault="0012171D" w:rsidP="00AA25EB">
      <w:pPr>
        <w:spacing w:after="120"/>
        <w:ind w:left="180"/>
        <w:rPr>
          <w:b/>
          <w:u w:val="single"/>
        </w:rPr>
      </w:pPr>
    </w:p>
    <w:p w14:paraId="41532881" w14:textId="77777777" w:rsidR="00FF5A48" w:rsidRDefault="00FF5A48" w:rsidP="00AA25EB">
      <w:pPr>
        <w:spacing w:after="120"/>
        <w:ind w:left="180"/>
        <w:rPr>
          <w:sz w:val="24"/>
        </w:rPr>
      </w:pPr>
    </w:p>
    <w:p w14:paraId="0C39BE1E" w14:textId="01ADB13C" w:rsidR="0012171D" w:rsidRDefault="00FF5A48" w:rsidP="00AA25EB">
      <w:pPr>
        <w:spacing w:after="120"/>
        <w:ind w:left="180"/>
        <w:rPr>
          <w:sz w:val="24"/>
        </w:rPr>
      </w:pPr>
      <w:r w:rsidRPr="00FF5A48">
        <w:rPr>
          <w:sz w:val="24"/>
        </w:rPr>
        <w:t>Additionally, charter schools continue to perform at or above the average performance of traditional schools, including subgroups:</w:t>
      </w:r>
    </w:p>
    <w:p w14:paraId="7F74FB20" w14:textId="68F27D8F" w:rsidR="00FF5A48" w:rsidRDefault="00FF5A48" w:rsidP="00AA25EB">
      <w:pPr>
        <w:spacing w:after="120"/>
        <w:ind w:left="180"/>
        <w:rPr>
          <w:b/>
        </w:rPr>
      </w:pPr>
      <w:r>
        <w:rPr>
          <w:noProof/>
        </w:rPr>
        <w:drawing>
          <wp:anchor distT="0" distB="0" distL="114300" distR="114300" simplePos="0" relativeHeight="251665408" behindDoc="0" locked="0" layoutInCell="1" allowOverlap="1" wp14:anchorId="32F752F7" wp14:editId="3FEF635C">
            <wp:simplePos x="0" y="0"/>
            <wp:positionH relativeFrom="column">
              <wp:posOffset>3402330</wp:posOffset>
            </wp:positionH>
            <wp:positionV relativeFrom="paragraph">
              <wp:posOffset>265430</wp:posOffset>
            </wp:positionV>
            <wp:extent cx="3558540" cy="1604010"/>
            <wp:effectExtent l="0" t="0" r="0" b="0"/>
            <wp:wrapTight wrapText="bothSides">
              <wp:wrapPolygon edited="0">
                <wp:start x="0" y="0"/>
                <wp:lineTo x="0" y="21207"/>
                <wp:lineTo x="21430" y="21207"/>
                <wp:lineTo x="21430" y="0"/>
                <wp:lineTo x="0" y="0"/>
              </wp:wrapPolygon>
            </wp:wrapTight>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3CF19BBD" wp14:editId="51AC1ED3">
            <wp:simplePos x="0" y="0"/>
            <wp:positionH relativeFrom="column">
              <wp:posOffset>-97790</wp:posOffset>
            </wp:positionH>
            <wp:positionV relativeFrom="paragraph">
              <wp:posOffset>257175</wp:posOffset>
            </wp:positionV>
            <wp:extent cx="3515995" cy="2084070"/>
            <wp:effectExtent l="0" t="0" r="0" b="0"/>
            <wp:wrapTight wrapText="bothSides">
              <wp:wrapPolygon edited="0">
                <wp:start x="0" y="0"/>
                <wp:lineTo x="0" y="21324"/>
                <wp:lineTo x="21378" y="21324"/>
                <wp:lineTo x="21378" y="0"/>
                <wp:lineTo x="0" y="0"/>
              </wp:wrapPolygon>
            </wp:wrapTight>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Pr>
          <w:b/>
        </w:rPr>
        <w:t>Figure 5: Percent Met/Exceeded, charters and traditional schools</w:t>
      </w:r>
    </w:p>
    <w:p w14:paraId="45D2E608" w14:textId="39E6DE7F" w:rsidR="00FF5A48" w:rsidRPr="00FF5A48" w:rsidRDefault="00FF5A48" w:rsidP="00AA25EB">
      <w:pPr>
        <w:spacing w:after="120"/>
        <w:ind w:left="180"/>
        <w:rPr>
          <w:b/>
        </w:rPr>
      </w:pPr>
      <w:r w:rsidRPr="00FF5A48">
        <w:rPr>
          <w:noProof/>
        </w:rPr>
        <w:t xml:space="preserve"> </w:t>
      </w:r>
    </w:p>
    <w:p w14:paraId="00BD8541" w14:textId="77777777" w:rsidR="00FF5A48" w:rsidRPr="00FF5A48" w:rsidRDefault="00FF5A48" w:rsidP="00AA25EB">
      <w:pPr>
        <w:spacing w:after="120"/>
        <w:ind w:left="180"/>
        <w:rPr>
          <w:b/>
          <w:u w:val="single"/>
        </w:rPr>
      </w:pPr>
    </w:p>
    <w:p w14:paraId="314E844A" w14:textId="77777777" w:rsidR="00FF5A48" w:rsidRDefault="00FF5A48" w:rsidP="003A6FF8">
      <w:pPr>
        <w:spacing w:after="120"/>
        <w:rPr>
          <w:b/>
          <w:sz w:val="24"/>
          <w:u w:val="single"/>
        </w:rPr>
      </w:pPr>
    </w:p>
    <w:p w14:paraId="3FFF649D" w14:textId="77777777" w:rsidR="003A6FF8" w:rsidRDefault="003A6FF8" w:rsidP="00AA25EB">
      <w:pPr>
        <w:spacing w:after="120"/>
        <w:ind w:left="180"/>
        <w:rPr>
          <w:b/>
          <w:sz w:val="24"/>
          <w:u w:val="single"/>
        </w:rPr>
      </w:pPr>
    </w:p>
    <w:p w14:paraId="43C3A750" w14:textId="77777777" w:rsidR="003A6FF8" w:rsidRDefault="003A6FF8" w:rsidP="00AA25EB">
      <w:pPr>
        <w:spacing w:after="120"/>
        <w:ind w:left="180"/>
        <w:rPr>
          <w:b/>
          <w:sz w:val="24"/>
          <w:u w:val="single"/>
        </w:rPr>
      </w:pPr>
    </w:p>
    <w:p w14:paraId="1FF9DEC6" w14:textId="30423432" w:rsidR="00700047" w:rsidRPr="00FF5A48" w:rsidRDefault="00AA25EB" w:rsidP="00AA25EB">
      <w:pPr>
        <w:spacing w:after="120"/>
        <w:ind w:left="180"/>
        <w:rPr>
          <w:b/>
          <w:sz w:val="24"/>
          <w:u w:val="single"/>
        </w:rPr>
      </w:pPr>
      <w:r w:rsidRPr="00FF5A48">
        <w:rPr>
          <w:b/>
          <w:sz w:val="24"/>
          <w:u w:val="single"/>
        </w:rPr>
        <w:t>Regional Findings</w:t>
      </w:r>
    </w:p>
    <w:p w14:paraId="0284807F" w14:textId="05C067F9" w:rsidR="00AA25EB" w:rsidRPr="00FF5A48" w:rsidRDefault="00AA25EB" w:rsidP="00AA25EB">
      <w:pPr>
        <w:ind w:left="180"/>
        <w:rPr>
          <w:b/>
          <w:i/>
          <w:sz w:val="24"/>
        </w:rPr>
      </w:pPr>
      <w:r w:rsidRPr="00FF5A48">
        <w:rPr>
          <w:b/>
          <w:i/>
          <w:sz w:val="24"/>
        </w:rPr>
        <w:t>Los Angeles Unified School District</w:t>
      </w:r>
    </w:p>
    <w:p w14:paraId="416181F7" w14:textId="77777777" w:rsidR="00AA25EB" w:rsidRDefault="00AA25EB" w:rsidP="00AA25EB">
      <w:pPr>
        <w:ind w:left="180"/>
      </w:pPr>
    </w:p>
    <w:p w14:paraId="029B1A32" w14:textId="0BD3DB5F" w:rsidR="00FF5A48" w:rsidRDefault="00FF5A48" w:rsidP="00AA25EB">
      <w:pPr>
        <w:ind w:left="180"/>
        <w:rPr>
          <w:sz w:val="24"/>
        </w:rPr>
      </w:pPr>
      <w:r>
        <w:rPr>
          <w:sz w:val="24"/>
        </w:rPr>
        <w:t xml:space="preserve">Autonomous charter schools in LAUSD </w:t>
      </w:r>
      <w:r w:rsidR="00E06FC4">
        <w:rPr>
          <w:sz w:val="24"/>
        </w:rPr>
        <w:t xml:space="preserve">maintained their lead on traditional school average performance, increasing the percent meeting and exceeding standards by 7 percentage points in ELA and 4 percentage points in math. </w:t>
      </w:r>
    </w:p>
    <w:p w14:paraId="0B20FE99" w14:textId="77777777" w:rsidR="00E06FC4" w:rsidRDefault="00E06FC4" w:rsidP="00AA25EB">
      <w:pPr>
        <w:ind w:left="180"/>
        <w:rPr>
          <w:sz w:val="24"/>
        </w:rPr>
      </w:pPr>
    </w:p>
    <w:p w14:paraId="5993904B" w14:textId="2B191C7D" w:rsidR="00E06FC4" w:rsidRPr="00E06FC4" w:rsidRDefault="00E06FC4" w:rsidP="00AA25EB">
      <w:pPr>
        <w:ind w:left="180"/>
        <w:rPr>
          <w:b/>
        </w:rPr>
      </w:pPr>
      <w:r w:rsidRPr="00E06FC4">
        <w:rPr>
          <w:b/>
        </w:rPr>
        <w:t>Figure 6: LAUSD Growth in Percent Met/Exceeded</w:t>
      </w:r>
    </w:p>
    <w:tbl>
      <w:tblPr>
        <w:tblW w:w="5780" w:type="dxa"/>
        <w:tblLook w:val="04A0" w:firstRow="1" w:lastRow="0" w:firstColumn="1" w:lastColumn="0" w:noHBand="0" w:noVBand="1"/>
      </w:tblPr>
      <w:tblGrid>
        <w:gridCol w:w="1880"/>
        <w:gridCol w:w="1300"/>
        <w:gridCol w:w="1300"/>
        <w:gridCol w:w="1300"/>
      </w:tblGrid>
      <w:tr w:rsidR="00AA25EB" w:rsidRPr="00AA25EB" w14:paraId="1F3BEAAE" w14:textId="77777777" w:rsidTr="00AA25EB">
        <w:trPr>
          <w:trHeight w:val="320"/>
        </w:trPr>
        <w:tc>
          <w:tcPr>
            <w:tcW w:w="1880" w:type="dxa"/>
            <w:tcBorders>
              <w:top w:val="nil"/>
              <w:left w:val="nil"/>
              <w:bottom w:val="nil"/>
              <w:right w:val="nil"/>
            </w:tcBorders>
            <w:shd w:val="clear" w:color="auto" w:fill="auto"/>
            <w:noWrap/>
            <w:vAlign w:val="bottom"/>
            <w:hideMark/>
          </w:tcPr>
          <w:p w14:paraId="2DB080CA" w14:textId="77777777" w:rsidR="00AA25EB" w:rsidRPr="00AA25EB" w:rsidRDefault="00AA25EB" w:rsidP="00AA25EB">
            <w:pPr>
              <w:rPr>
                <w:color w:val="auto"/>
                <w:position w:val="0"/>
              </w:rPr>
            </w:pPr>
          </w:p>
        </w:tc>
        <w:tc>
          <w:tcPr>
            <w:tcW w:w="1300" w:type="dxa"/>
            <w:tcBorders>
              <w:top w:val="nil"/>
              <w:left w:val="nil"/>
              <w:bottom w:val="nil"/>
              <w:right w:val="nil"/>
            </w:tcBorders>
            <w:shd w:val="clear" w:color="auto" w:fill="auto"/>
            <w:noWrap/>
            <w:vAlign w:val="bottom"/>
            <w:hideMark/>
          </w:tcPr>
          <w:p w14:paraId="67498658" w14:textId="77777777" w:rsidR="00AA25EB" w:rsidRPr="00AA25EB" w:rsidRDefault="00AA25EB" w:rsidP="00AA25EB">
            <w:pPr>
              <w:rPr>
                <w:rFonts w:eastAsia="Times New Roman"/>
                <w:color w:val="auto"/>
                <w:position w:val="0"/>
              </w:rPr>
            </w:pPr>
          </w:p>
        </w:tc>
        <w:tc>
          <w:tcPr>
            <w:tcW w:w="1300" w:type="dxa"/>
            <w:tcBorders>
              <w:top w:val="nil"/>
              <w:left w:val="nil"/>
              <w:bottom w:val="nil"/>
              <w:right w:val="nil"/>
            </w:tcBorders>
            <w:shd w:val="clear" w:color="auto" w:fill="auto"/>
            <w:noWrap/>
            <w:vAlign w:val="bottom"/>
            <w:hideMark/>
          </w:tcPr>
          <w:p w14:paraId="0AB3D5D2" w14:textId="77777777" w:rsidR="00AA25EB" w:rsidRPr="00AA25EB" w:rsidRDefault="00AA25EB" w:rsidP="00AA25EB">
            <w:pPr>
              <w:rPr>
                <w:rFonts w:eastAsia="Times New Roman"/>
                <w:color w:val="000000"/>
                <w:position w:val="0"/>
              </w:rPr>
            </w:pPr>
            <w:r w:rsidRPr="00AA25EB">
              <w:rPr>
                <w:rFonts w:eastAsia="Times New Roman"/>
                <w:color w:val="000000"/>
                <w:position w:val="0"/>
              </w:rPr>
              <w:t>ELA</w:t>
            </w:r>
          </w:p>
        </w:tc>
        <w:tc>
          <w:tcPr>
            <w:tcW w:w="1300" w:type="dxa"/>
            <w:tcBorders>
              <w:top w:val="nil"/>
              <w:left w:val="nil"/>
              <w:bottom w:val="nil"/>
              <w:right w:val="nil"/>
            </w:tcBorders>
            <w:shd w:val="clear" w:color="auto" w:fill="auto"/>
            <w:noWrap/>
            <w:vAlign w:val="bottom"/>
            <w:hideMark/>
          </w:tcPr>
          <w:p w14:paraId="301E8E0A" w14:textId="77777777" w:rsidR="00AA25EB" w:rsidRPr="00AA25EB" w:rsidRDefault="00AA25EB" w:rsidP="00AA25EB">
            <w:pPr>
              <w:rPr>
                <w:rFonts w:eastAsia="Times New Roman"/>
                <w:color w:val="000000"/>
                <w:position w:val="0"/>
              </w:rPr>
            </w:pPr>
            <w:r w:rsidRPr="00AA25EB">
              <w:rPr>
                <w:rFonts w:eastAsia="Times New Roman"/>
                <w:color w:val="000000"/>
                <w:position w:val="0"/>
              </w:rPr>
              <w:t>Math</w:t>
            </w:r>
          </w:p>
        </w:tc>
      </w:tr>
      <w:tr w:rsidR="00AA25EB" w:rsidRPr="00AA25EB" w14:paraId="2F62CA17" w14:textId="77777777" w:rsidTr="00AA25EB">
        <w:trPr>
          <w:trHeight w:val="320"/>
        </w:trPr>
        <w:tc>
          <w:tcPr>
            <w:tcW w:w="1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A6CEE8" w14:textId="77777777" w:rsidR="00AA25EB" w:rsidRPr="00AA25EB" w:rsidRDefault="00AA25EB" w:rsidP="00AA25EB">
            <w:pPr>
              <w:rPr>
                <w:rFonts w:eastAsia="Times New Roman"/>
                <w:color w:val="000000"/>
                <w:position w:val="0"/>
              </w:rPr>
            </w:pPr>
            <w:r w:rsidRPr="00AA25EB">
              <w:rPr>
                <w:rFonts w:eastAsia="Times New Roman"/>
                <w:color w:val="000000"/>
                <w:position w:val="0"/>
              </w:rPr>
              <w:t>Autonomous</w:t>
            </w:r>
            <w:r w:rsidRPr="00AA25EB">
              <w:rPr>
                <w:rFonts w:eastAsia="Times New Roman"/>
                <w:color w:val="000000"/>
                <w:position w:val="0"/>
              </w:rPr>
              <w:br/>
              <w:t>Charters</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25C6EE1"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2016</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F1663FC"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46%</w:t>
            </w:r>
          </w:p>
        </w:tc>
        <w:tc>
          <w:tcPr>
            <w:tcW w:w="1300" w:type="dxa"/>
            <w:tcBorders>
              <w:top w:val="single" w:sz="4" w:space="0" w:color="auto"/>
              <w:left w:val="nil"/>
              <w:bottom w:val="nil"/>
              <w:right w:val="single" w:sz="4" w:space="0" w:color="auto"/>
            </w:tcBorders>
            <w:shd w:val="clear" w:color="auto" w:fill="auto"/>
            <w:noWrap/>
            <w:vAlign w:val="bottom"/>
            <w:hideMark/>
          </w:tcPr>
          <w:p w14:paraId="1906A7DF"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30%</w:t>
            </w:r>
          </w:p>
        </w:tc>
      </w:tr>
      <w:tr w:rsidR="00AA25EB" w:rsidRPr="00AA25EB" w14:paraId="2936CADF" w14:textId="77777777" w:rsidTr="00AA25EB">
        <w:trPr>
          <w:trHeight w:val="320"/>
        </w:trPr>
        <w:tc>
          <w:tcPr>
            <w:tcW w:w="1880" w:type="dxa"/>
            <w:vMerge/>
            <w:tcBorders>
              <w:top w:val="single" w:sz="4" w:space="0" w:color="auto"/>
              <w:left w:val="single" w:sz="4" w:space="0" w:color="auto"/>
              <w:bottom w:val="single" w:sz="4" w:space="0" w:color="auto"/>
              <w:right w:val="single" w:sz="4" w:space="0" w:color="auto"/>
            </w:tcBorders>
            <w:vAlign w:val="center"/>
            <w:hideMark/>
          </w:tcPr>
          <w:p w14:paraId="7BEF910B" w14:textId="77777777" w:rsidR="00AA25EB" w:rsidRPr="00AA25EB" w:rsidRDefault="00AA25EB" w:rsidP="00AA25EB">
            <w:pPr>
              <w:rPr>
                <w:rFonts w:eastAsia="Times New Roman"/>
                <w:color w:val="000000"/>
                <w:position w:val="0"/>
              </w:rPr>
            </w:pPr>
          </w:p>
        </w:tc>
        <w:tc>
          <w:tcPr>
            <w:tcW w:w="1300" w:type="dxa"/>
            <w:tcBorders>
              <w:top w:val="nil"/>
              <w:left w:val="nil"/>
              <w:bottom w:val="single" w:sz="4" w:space="0" w:color="auto"/>
              <w:right w:val="single" w:sz="4" w:space="0" w:color="auto"/>
            </w:tcBorders>
            <w:shd w:val="clear" w:color="auto" w:fill="auto"/>
            <w:noWrap/>
            <w:vAlign w:val="bottom"/>
            <w:hideMark/>
          </w:tcPr>
          <w:p w14:paraId="309C5825"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2015</w:t>
            </w:r>
          </w:p>
        </w:tc>
        <w:tc>
          <w:tcPr>
            <w:tcW w:w="1300" w:type="dxa"/>
            <w:tcBorders>
              <w:top w:val="nil"/>
              <w:left w:val="nil"/>
              <w:bottom w:val="single" w:sz="4" w:space="0" w:color="auto"/>
              <w:right w:val="single" w:sz="4" w:space="0" w:color="auto"/>
            </w:tcBorders>
            <w:shd w:val="clear" w:color="auto" w:fill="auto"/>
            <w:noWrap/>
            <w:vAlign w:val="bottom"/>
            <w:hideMark/>
          </w:tcPr>
          <w:p w14:paraId="78EE54BC"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39%</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6A35B392"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26%</w:t>
            </w:r>
          </w:p>
        </w:tc>
      </w:tr>
      <w:tr w:rsidR="00AA25EB" w:rsidRPr="00AA25EB" w14:paraId="134C0B15" w14:textId="77777777" w:rsidTr="00AA25EB">
        <w:trPr>
          <w:trHeight w:val="320"/>
        </w:trPr>
        <w:tc>
          <w:tcPr>
            <w:tcW w:w="1880" w:type="dxa"/>
            <w:vMerge/>
            <w:tcBorders>
              <w:top w:val="single" w:sz="4" w:space="0" w:color="auto"/>
              <w:left w:val="single" w:sz="4" w:space="0" w:color="auto"/>
              <w:bottom w:val="single" w:sz="4" w:space="0" w:color="auto"/>
              <w:right w:val="single" w:sz="4" w:space="0" w:color="auto"/>
            </w:tcBorders>
            <w:vAlign w:val="center"/>
            <w:hideMark/>
          </w:tcPr>
          <w:p w14:paraId="361196E4" w14:textId="77777777" w:rsidR="00AA25EB" w:rsidRPr="00AA25EB" w:rsidRDefault="00AA25EB" w:rsidP="00AA25EB">
            <w:pPr>
              <w:rPr>
                <w:rFonts w:eastAsia="Times New Roman"/>
                <w:color w:val="000000"/>
                <w:position w:val="0"/>
              </w:rPr>
            </w:pPr>
          </w:p>
        </w:tc>
        <w:tc>
          <w:tcPr>
            <w:tcW w:w="1300" w:type="dxa"/>
            <w:tcBorders>
              <w:top w:val="nil"/>
              <w:left w:val="nil"/>
              <w:bottom w:val="single" w:sz="4" w:space="0" w:color="auto"/>
              <w:right w:val="single" w:sz="4" w:space="0" w:color="auto"/>
            </w:tcBorders>
            <w:shd w:val="clear" w:color="auto" w:fill="auto"/>
            <w:noWrap/>
            <w:vAlign w:val="bottom"/>
            <w:hideMark/>
          </w:tcPr>
          <w:p w14:paraId="5BD6866A"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Change</w:t>
            </w:r>
          </w:p>
        </w:tc>
        <w:tc>
          <w:tcPr>
            <w:tcW w:w="1300" w:type="dxa"/>
            <w:tcBorders>
              <w:top w:val="nil"/>
              <w:left w:val="nil"/>
              <w:bottom w:val="single" w:sz="4" w:space="0" w:color="auto"/>
              <w:right w:val="single" w:sz="4" w:space="0" w:color="auto"/>
            </w:tcBorders>
            <w:shd w:val="clear" w:color="auto" w:fill="auto"/>
            <w:noWrap/>
            <w:vAlign w:val="bottom"/>
            <w:hideMark/>
          </w:tcPr>
          <w:p w14:paraId="4FEF6553"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7%</w:t>
            </w:r>
          </w:p>
        </w:tc>
        <w:tc>
          <w:tcPr>
            <w:tcW w:w="1300" w:type="dxa"/>
            <w:tcBorders>
              <w:top w:val="nil"/>
              <w:left w:val="nil"/>
              <w:bottom w:val="single" w:sz="4" w:space="0" w:color="auto"/>
              <w:right w:val="single" w:sz="4" w:space="0" w:color="auto"/>
            </w:tcBorders>
            <w:shd w:val="clear" w:color="auto" w:fill="auto"/>
            <w:noWrap/>
            <w:vAlign w:val="bottom"/>
            <w:hideMark/>
          </w:tcPr>
          <w:p w14:paraId="2E0F12AC"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4%</w:t>
            </w:r>
          </w:p>
        </w:tc>
      </w:tr>
      <w:tr w:rsidR="00AA25EB" w:rsidRPr="00AA25EB" w14:paraId="12CB1BDD" w14:textId="77777777" w:rsidTr="00AA25EB">
        <w:trPr>
          <w:trHeight w:val="320"/>
        </w:trPr>
        <w:tc>
          <w:tcPr>
            <w:tcW w:w="1880" w:type="dxa"/>
            <w:tcBorders>
              <w:top w:val="nil"/>
              <w:left w:val="nil"/>
              <w:bottom w:val="nil"/>
              <w:right w:val="nil"/>
            </w:tcBorders>
            <w:shd w:val="clear" w:color="auto" w:fill="auto"/>
            <w:noWrap/>
            <w:vAlign w:val="bottom"/>
            <w:hideMark/>
          </w:tcPr>
          <w:p w14:paraId="6751D9C0" w14:textId="77777777" w:rsidR="00AA25EB" w:rsidRPr="00AA25EB" w:rsidRDefault="00AA25EB" w:rsidP="00AA25EB">
            <w:pPr>
              <w:jc w:val="right"/>
              <w:rPr>
                <w:rFonts w:eastAsia="Times New Roman"/>
                <w:color w:val="000000"/>
                <w:position w:val="0"/>
              </w:rPr>
            </w:pPr>
          </w:p>
        </w:tc>
        <w:tc>
          <w:tcPr>
            <w:tcW w:w="1300" w:type="dxa"/>
            <w:tcBorders>
              <w:top w:val="nil"/>
              <w:left w:val="nil"/>
              <w:bottom w:val="nil"/>
              <w:right w:val="nil"/>
            </w:tcBorders>
            <w:shd w:val="clear" w:color="auto" w:fill="auto"/>
            <w:noWrap/>
            <w:vAlign w:val="bottom"/>
            <w:hideMark/>
          </w:tcPr>
          <w:p w14:paraId="4A1B92A3" w14:textId="77777777" w:rsidR="00AA25EB" w:rsidRPr="00AA25EB" w:rsidRDefault="00AA25EB" w:rsidP="00AA25EB">
            <w:pPr>
              <w:rPr>
                <w:rFonts w:eastAsia="Times New Roman"/>
                <w:color w:val="auto"/>
                <w:position w:val="0"/>
              </w:rPr>
            </w:pPr>
          </w:p>
        </w:tc>
        <w:tc>
          <w:tcPr>
            <w:tcW w:w="1300" w:type="dxa"/>
            <w:tcBorders>
              <w:top w:val="nil"/>
              <w:left w:val="nil"/>
              <w:bottom w:val="nil"/>
              <w:right w:val="nil"/>
            </w:tcBorders>
            <w:shd w:val="clear" w:color="auto" w:fill="auto"/>
            <w:noWrap/>
            <w:vAlign w:val="bottom"/>
            <w:hideMark/>
          </w:tcPr>
          <w:p w14:paraId="1ED542AC" w14:textId="77777777" w:rsidR="00AA25EB" w:rsidRPr="00AA25EB" w:rsidRDefault="00AA25EB" w:rsidP="00AA25EB">
            <w:pPr>
              <w:rPr>
                <w:rFonts w:eastAsia="Times New Roman"/>
                <w:color w:val="auto"/>
                <w:position w:val="0"/>
              </w:rPr>
            </w:pPr>
          </w:p>
        </w:tc>
        <w:tc>
          <w:tcPr>
            <w:tcW w:w="1300" w:type="dxa"/>
            <w:tcBorders>
              <w:top w:val="nil"/>
              <w:left w:val="nil"/>
              <w:bottom w:val="nil"/>
              <w:right w:val="nil"/>
            </w:tcBorders>
            <w:shd w:val="clear" w:color="auto" w:fill="auto"/>
            <w:noWrap/>
            <w:vAlign w:val="bottom"/>
            <w:hideMark/>
          </w:tcPr>
          <w:p w14:paraId="766B7096" w14:textId="77777777" w:rsidR="00AA25EB" w:rsidRPr="00AA25EB" w:rsidRDefault="00AA25EB" w:rsidP="00AA25EB">
            <w:pPr>
              <w:rPr>
                <w:rFonts w:eastAsia="Times New Roman"/>
                <w:color w:val="auto"/>
                <w:position w:val="0"/>
              </w:rPr>
            </w:pPr>
          </w:p>
        </w:tc>
      </w:tr>
      <w:tr w:rsidR="00AA25EB" w:rsidRPr="00AA25EB" w14:paraId="35524BB0" w14:textId="77777777" w:rsidTr="00AA25EB">
        <w:trPr>
          <w:trHeight w:val="320"/>
        </w:trPr>
        <w:tc>
          <w:tcPr>
            <w:tcW w:w="1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F89A05" w14:textId="77777777" w:rsidR="00AA25EB" w:rsidRPr="00AA25EB" w:rsidRDefault="00AA25EB" w:rsidP="00AA25EB">
            <w:pPr>
              <w:rPr>
                <w:rFonts w:eastAsia="Times New Roman"/>
                <w:color w:val="000000"/>
                <w:position w:val="0"/>
              </w:rPr>
            </w:pPr>
            <w:r w:rsidRPr="00AA25EB">
              <w:rPr>
                <w:rFonts w:eastAsia="Times New Roman"/>
                <w:color w:val="000000"/>
                <w:position w:val="0"/>
              </w:rPr>
              <w:t>Non-Autonomous Charters</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0397627"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2016</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577682D2"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63%</w:t>
            </w:r>
          </w:p>
        </w:tc>
        <w:tc>
          <w:tcPr>
            <w:tcW w:w="1300" w:type="dxa"/>
            <w:tcBorders>
              <w:top w:val="single" w:sz="4" w:space="0" w:color="auto"/>
              <w:left w:val="nil"/>
              <w:bottom w:val="nil"/>
              <w:right w:val="single" w:sz="4" w:space="0" w:color="auto"/>
            </w:tcBorders>
            <w:shd w:val="clear" w:color="auto" w:fill="auto"/>
            <w:noWrap/>
            <w:vAlign w:val="bottom"/>
            <w:hideMark/>
          </w:tcPr>
          <w:p w14:paraId="78858528"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56%</w:t>
            </w:r>
          </w:p>
        </w:tc>
      </w:tr>
      <w:tr w:rsidR="00AA25EB" w:rsidRPr="00AA25EB" w14:paraId="5BF4909F" w14:textId="77777777" w:rsidTr="00AA25EB">
        <w:trPr>
          <w:trHeight w:val="320"/>
        </w:trPr>
        <w:tc>
          <w:tcPr>
            <w:tcW w:w="1880" w:type="dxa"/>
            <w:vMerge/>
            <w:tcBorders>
              <w:top w:val="single" w:sz="4" w:space="0" w:color="auto"/>
              <w:left w:val="single" w:sz="4" w:space="0" w:color="auto"/>
              <w:bottom w:val="single" w:sz="4" w:space="0" w:color="auto"/>
              <w:right w:val="single" w:sz="4" w:space="0" w:color="auto"/>
            </w:tcBorders>
            <w:vAlign w:val="center"/>
            <w:hideMark/>
          </w:tcPr>
          <w:p w14:paraId="312E7807" w14:textId="77777777" w:rsidR="00AA25EB" w:rsidRPr="00AA25EB" w:rsidRDefault="00AA25EB" w:rsidP="00AA25EB">
            <w:pPr>
              <w:rPr>
                <w:rFonts w:eastAsia="Times New Roman"/>
                <w:color w:val="000000"/>
                <w:position w:val="0"/>
              </w:rPr>
            </w:pPr>
          </w:p>
        </w:tc>
        <w:tc>
          <w:tcPr>
            <w:tcW w:w="1300" w:type="dxa"/>
            <w:tcBorders>
              <w:top w:val="nil"/>
              <w:left w:val="nil"/>
              <w:bottom w:val="single" w:sz="4" w:space="0" w:color="auto"/>
              <w:right w:val="single" w:sz="4" w:space="0" w:color="auto"/>
            </w:tcBorders>
            <w:shd w:val="clear" w:color="auto" w:fill="auto"/>
            <w:noWrap/>
            <w:vAlign w:val="bottom"/>
            <w:hideMark/>
          </w:tcPr>
          <w:p w14:paraId="5EBF7D42"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2015</w:t>
            </w:r>
          </w:p>
        </w:tc>
        <w:tc>
          <w:tcPr>
            <w:tcW w:w="1300" w:type="dxa"/>
            <w:tcBorders>
              <w:top w:val="nil"/>
              <w:left w:val="nil"/>
              <w:bottom w:val="single" w:sz="4" w:space="0" w:color="auto"/>
              <w:right w:val="single" w:sz="4" w:space="0" w:color="auto"/>
            </w:tcBorders>
            <w:shd w:val="clear" w:color="auto" w:fill="auto"/>
            <w:noWrap/>
            <w:vAlign w:val="bottom"/>
            <w:hideMark/>
          </w:tcPr>
          <w:p w14:paraId="73352936"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58%</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597AED75"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51%</w:t>
            </w:r>
          </w:p>
        </w:tc>
      </w:tr>
      <w:tr w:rsidR="00AA25EB" w:rsidRPr="00AA25EB" w14:paraId="0888FEE8" w14:textId="77777777" w:rsidTr="00AA25EB">
        <w:trPr>
          <w:trHeight w:val="320"/>
        </w:trPr>
        <w:tc>
          <w:tcPr>
            <w:tcW w:w="1880" w:type="dxa"/>
            <w:vMerge/>
            <w:tcBorders>
              <w:top w:val="single" w:sz="4" w:space="0" w:color="auto"/>
              <w:left w:val="single" w:sz="4" w:space="0" w:color="auto"/>
              <w:bottom w:val="single" w:sz="4" w:space="0" w:color="auto"/>
              <w:right w:val="single" w:sz="4" w:space="0" w:color="auto"/>
            </w:tcBorders>
            <w:vAlign w:val="center"/>
            <w:hideMark/>
          </w:tcPr>
          <w:p w14:paraId="505D0BE9" w14:textId="77777777" w:rsidR="00AA25EB" w:rsidRPr="00AA25EB" w:rsidRDefault="00AA25EB" w:rsidP="00AA25EB">
            <w:pPr>
              <w:rPr>
                <w:rFonts w:eastAsia="Times New Roman"/>
                <w:color w:val="000000"/>
                <w:position w:val="0"/>
              </w:rPr>
            </w:pPr>
          </w:p>
        </w:tc>
        <w:tc>
          <w:tcPr>
            <w:tcW w:w="1300" w:type="dxa"/>
            <w:tcBorders>
              <w:top w:val="nil"/>
              <w:left w:val="nil"/>
              <w:bottom w:val="single" w:sz="4" w:space="0" w:color="auto"/>
              <w:right w:val="single" w:sz="4" w:space="0" w:color="auto"/>
            </w:tcBorders>
            <w:shd w:val="clear" w:color="auto" w:fill="auto"/>
            <w:noWrap/>
            <w:vAlign w:val="bottom"/>
            <w:hideMark/>
          </w:tcPr>
          <w:p w14:paraId="1C9ED5EB"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Change</w:t>
            </w:r>
          </w:p>
        </w:tc>
        <w:tc>
          <w:tcPr>
            <w:tcW w:w="1300" w:type="dxa"/>
            <w:tcBorders>
              <w:top w:val="nil"/>
              <w:left w:val="nil"/>
              <w:bottom w:val="single" w:sz="4" w:space="0" w:color="auto"/>
              <w:right w:val="single" w:sz="4" w:space="0" w:color="auto"/>
            </w:tcBorders>
            <w:shd w:val="clear" w:color="auto" w:fill="auto"/>
            <w:noWrap/>
            <w:vAlign w:val="bottom"/>
            <w:hideMark/>
          </w:tcPr>
          <w:p w14:paraId="14815DE8"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5%</w:t>
            </w:r>
          </w:p>
        </w:tc>
        <w:tc>
          <w:tcPr>
            <w:tcW w:w="1300" w:type="dxa"/>
            <w:tcBorders>
              <w:top w:val="nil"/>
              <w:left w:val="nil"/>
              <w:bottom w:val="single" w:sz="4" w:space="0" w:color="auto"/>
              <w:right w:val="single" w:sz="4" w:space="0" w:color="auto"/>
            </w:tcBorders>
            <w:shd w:val="clear" w:color="auto" w:fill="auto"/>
            <w:noWrap/>
            <w:vAlign w:val="bottom"/>
            <w:hideMark/>
          </w:tcPr>
          <w:p w14:paraId="41FC5656"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5%</w:t>
            </w:r>
          </w:p>
        </w:tc>
      </w:tr>
      <w:tr w:rsidR="00AA25EB" w:rsidRPr="00AA25EB" w14:paraId="463527AD" w14:textId="77777777" w:rsidTr="00AA25EB">
        <w:trPr>
          <w:trHeight w:val="320"/>
        </w:trPr>
        <w:tc>
          <w:tcPr>
            <w:tcW w:w="1880" w:type="dxa"/>
            <w:tcBorders>
              <w:top w:val="nil"/>
              <w:left w:val="nil"/>
              <w:bottom w:val="nil"/>
              <w:right w:val="nil"/>
            </w:tcBorders>
            <w:shd w:val="clear" w:color="auto" w:fill="auto"/>
            <w:noWrap/>
            <w:vAlign w:val="bottom"/>
            <w:hideMark/>
          </w:tcPr>
          <w:p w14:paraId="0AA7BFB5" w14:textId="77777777" w:rsidR="00AA25EB" w:rsidRPr="00AA25EB" w:rsidRDefault="00AA25EB" w:rsidP="00AA25EB">
            <w:pPr>
              <w:jc w:val="right"/>
              <w:rPr>
                <w:rFonts w:eastAsia="Times New Roman"/>
                <w:color w:val="000000"/>
                <w:position w:val="0"/>
              </w:rPr>
            </w:pPr>
          </w:p>
        </w:tc>
        <w:tc>
          <w:tcPr>
            <w:tcW w:w="1300" w:type="dxa"/>
            <w:tcBorders>
              <w:top w:val="nil"/>
              <w:left w:val="nil"/>
              <w:bottom w:val="nil"/>
              <w:right w:val="nil"/>
            </w:tcBorders>
            <w:shd w:val="clear" w:color="auto" w:fill="auto"/>
            <w:noWrap/>
            <w:vAlign w:val="bottom"/>
            <w:hideMark/>
          </w:tcPr>
          <w:p w14:paraId="607249C9" w14:textId="77777777" w:rsidR="00AA25EB" w:rsidRPr="00AA25EB" w:rsidRDefault="00AA25EB" w:rsidP="00AA25EB">
            <w:pPr>
              <w:rPr>
                <w:rFonts w:eastAsia="Times New Roman"/>
                <w:color w:val="auto"/>
                <w:position w:val="0"/>
              </w:rPr>
            </w:pPr>
          </w:p>
        </w:tc>
        <w:tc>
          <w:tcPr>
            <w:tcW w:w="1300" w:type="dxa"/>
            <w:tcBorders>
              <w:top w:val="nil"/>
              <w:left w:val="nil"/>
              <w:bottom w:val="nil"/>
              <w:right w:val="nil"/>
            </w:tcBorders>
            <w:shd w:val="clear" w:color="auto" w:fill="auto"/>
            <w:noWrap/>
            <w:vAlign w:val="bottom"/>
            <w:hideMark/>
          </w:tcPr>
          <w:p w14:paraId="1B85855B" w14:textId="77777777" w:rsidR="00AA25EB" w:rsidRPr="00AA25EB" w:rsidRDefault="00AA25EB" w:rsidP="00AA25EB">
            <w:pPr>
              <w:rPr>
                <w:rFonts w:eastAsia="Times New Roman"/>
                <w:color w:val="auto"/>
                <w:position w:val="0"/>
              </w:rPr>
            </w:pPr>
          </w:p>
        </w:tc>
        <w:tc>
          <w:tcPr>
            <w:tcW w:w="1300" w:type="dxa"/>
            <w:tcBorders>
              <w:top w:val="nil"/>
              <w:left w:val="nil"/>
              <w:bottom w:val="nil"/>
              <w:right w:val="nil"/>
            </w:tcBorders>
            <w:shd w:val="clear" w:color="auto" w:fill="auto"/>
            <w:noWrap/>
            <w:vAlign w:val="bottom"/>
            <w:hideMark/>
          </w:tcPr>
          <w:p w14:paraId="6C59A5A9" w14:textId="77777777" w:rsidR="00AA25EB" w:rsidRPr="00AA25EB" w:rsidRDefault="00AA25EB" w:rsidP="00AA25EB">
            <w:pPr>
              <w:rPr>
                <w:rFonts w:eastAsia="Times New Roman"/>
                <w:color w:val="auto"/>
                <w:position w:val="0"/>
              </w:rPr>
            </w:pPr>
          </w:p>
        </w:tc>
      </w:tr>
      <w:tr w:rsidR="00AA25EB" w:rsidRPr="00AA25EB" w14:paraId="52A2AF73" w14:textId="77777777" w:rsidTr="00AA25EB">
        <w:trPr>
          <w:trHeight w:val="320"/>
        </w:trPr>
        <w:tc>
          <w:tcPr>
            <w:tcW w:w="18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FE541" w14:textId="77777777" w:rsidR="00AA25EB" w:rsidRPr="00AA25EB" w:rsidRDefault="00AA25EB" w:rsidP="00AA25EB">
            <w:pPr>
              <w:rPr>
                <w:rFonts w:eastAsia="Times New Roman"/>
                <w:color w:val="000000"/>
                <w:position w:val="0"/>
              </w:rPr>
            </w:pPr>
            <w:r w:rsidRPr="00AA25EB">
              <w:rPr>
                <w:rFonts w:eastAsia="Times New Roman"/>
                <w:color w:val="000000"/>
                <w:position w:val="0"/>
              </w:rPr>
              <w:t>Traditional</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E4A9414"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2016</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7E1F9636"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37%</w:t>
            </w:r>
          </w:p>
        </w:tc>
        <w:tc>
          <w:tcPr>
            <w:tcW w:w="1300" w:type="dxa"/>
            <w:tcBorders>
              <w:top w:val="single" w:sz="4" w:space="0" w:color="auto"/>
              <w:left w:val="nil"/>
              <w:bottom w:val="nil"/>
              <w:right w:val="single" w:sz="4" w:space="0" w:color="auto"/>
            </w:tcBorders>
            <w:shd w:val="clear" w:color="auto" w:fill="auto"/>
            <w:noWrap/>
            <w:vAlign w:val="bottom"/>
            <w:hideMark/>
          </w:tcPr>
          <w:p w14:paraId="1CD280C4"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26%</w:t>
            </w:r>
          </w:p>
        </w:tc>
      </w:tr>
      <w:tr w:rsidR="00AA25EB" w:rsidRPr="00AA25EB" w14:paraId="3B3DE43D" w14:textId="77777777" w:rsidTr="00AA25EB">
        <w:trPr>
          <w:trHeight w:val="320"/>
        </w:trPr>
        <w:tc>
          <w:tcPr>
            <w:tcW w:w="1880" w:type="dxa"/>
            <w:vMerge/>
            <w:tcBorders>
              <w:top w:val="single" w:sz="4" w:space="0" w:color="auto"/>
              <w:left w:val="single" w:sz="4" w:space="0" w:color="auto"/>
              <w:bottom w:val="single" w:sz="4" w:space="0" w:color="auto"/>
              <w:right w:val="single" w:sz="4" w:space="0" w:color="auto"/>
            </w:tcBorders>
            <w:vAlign w:val="center"/>
            <w:hideMark/>
          </w:tcPr>
          <w:p w14:paraId="4631BD39" w14:textId="77777777" w:rsidR="00AA25EB" w:rsidRPr="00AA25EB" w:rsidRDefault="00AA25EB" w:rsidP="00AA25EB">
            <w:pPr>
              <w:rPr>
                <w:rFonts w:eastAsia="Times New Roman"/>
                <w:color w:val="000000"/>
                <w:position w:val="0"/>
              </w:rPr>
            </w:pPr>
          </w:p>
        </w:tc>
        <w:tc>
          <w:tcPr>
            <w:tcW w:w="1300" w:type="dxa"/>
            <w:tcBorders>
              <w:top w:val="nil"/>
              <w:left w:val="nil"/>
              <w:bottom w:val="single" w:sz="4" w:space="0" w:color="auto"/>
              <w:right w:val="single" w:sz="4" w:space="0" w:color="auto"/>
            </w:tcBorders>
            <w:shd w:val="clear" w:color="auto" w:fill="auto"/>
            <w:noWrap/>
            <w:vAlign w:val="bottom"/>
            <w:hideMark/>
          </w:tcPr>
          <w:p w14:paraId="7D350381"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2015</w:t>
            </w:r>
          </w:p>
        </w:tc>
        <w:tc>
          <w:tcPr>
            <w:tcW w:w="1300" w:type="dxa"/>
            <w:tcBorders>
              <w:top w:val="nil"/>
              <w:left w:val="nil"/>
              <w:bottom w:val="single" w:sz="4" w:space="0" w:color="auto"/>
              <w:right w:val="single" w:sz="4" w:space="0" w:color="auto"/>
            </w:tcBorders>
            <w:shd w:val="clear" w:color="auto" w:fill="auto"/>
            <w:noWrap/>
            <w:vAlign w:val="bottom"/>
            <w:hideMark/>
          </w:tcPr>
          <w:p w14:paraId="75D456DC"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31%</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6E151E72"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22%</w:t>
            </w:r>
          </w:p>
        </w:tc>
      </w:tr>
      <w:tr w:rsidR="00AA25EB" w:rsidRPr="00AA25EB" w14:paraId="27E93AD7" w14:textId="77777777" w:rsidTr="00AA25EB">
        <w:trPr>
          <w:trHeight w:val="320"/>
        </w:trPr>
        <w:tc>
          <w:tcPr>
            <w:tcW w:w="1880" w:type="dxa"/>
            <w:vMerge/>
            <w:tcBorders>
              <w:top w:val="single" w:sz="4" w:space="0" w:color="auto"/>
              <w:left w:val="single" w:sz="4" w:space="0" w:color="auto"/>
              <w:bottom w:val="single" w:sz="4" w:space="0" w:color="auto"/>
              <w:right w:val="single" w:sz="4" w:space="0" w:color="auto"/>
            </w:tcBorders>
            <w:vAlign w:val="center"/>
            <w:hideMark/>
          </w:tcPr>
          <w:p w14:paraId="5069D67F" w14:textId="77777777" w:rsidR="00AA25EB" w:rsidRPr="00AA25EB" w:rsidRDefault="00AA25EB" w:rsidP="00AA25EB">
            <w:pPr>
              <w:rPr>
                <w:rFonts w:eastAsia="Times New Roman"/>
                <w:color w:val="000000"/>
                <w:position w:val="0"/>
              </w:rPr>
            </w:pPr>
          </w:p>
        </w:tc>
        <w:tc>
          <w:tcPr>
            <w:tcW w:w="1300" w:type="dxa"/>
            <w:tcBorders>
              <w:top w:val="nil"/>
              <w:left w:val="nil"/>
              <w:bottom w:val="single" w:sz="4" w:space="0" w:color="auto"/>
              <w:right w:val="single" w:sz="4" w:space="0" w:color="auto"/>
            </w:tcBorders>
            <w:shd w:val="clear" w:color="auto" w:fill="auto"/>
            <w:noWrap/>
            <w:vAlign w:val="bottom"/>
            <w:hideMark/>
          </w:tcPr>
          <w:p w14:paraId="075693EB"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Change</w:t>
            </w:r>
          </w:p>
        </w:tc>
        <w:tc>
          <w:tcPr>
            <w:tcW w:w="1300" w:type="dxa"/>
            <w:tcBorders>
              <w:top w:val="nil"/>
              <w:left w:val="nil"/>
              <w:bottom w:val="single" w:sz="4" w:space="0" w:color="auto"/>
              <w:right w:val="single" w:sz="4" w:space="0" w:color="auto"/>
            </w:tcBorders>
            <w:shd w:val="clear" w:color="auto" w:fill="auto"/>
            <w:noWrap/>
            <w:vAlign w:val="bottom"/>
            <w:hideMark/>
          </w:tcPr>
          <w:p w14:paraId="1F754051"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6%</w:t>
            </w:r>
          </w:p>
        </w:tc>
        <w:tc>
          <w:tcPr>
            <w:tcW w:w="1300" w:type="dxa"/>
            <w:tcBorders>
              <w:top w:val="nil"/>
              <w:left w:val="nil"/>
              <w:bottom w:val="single" w:sz="4" w:space="0" w:color="auto"/>
              <w:right w:val="single" w:sz="4" w:space="0" w:color="auto"/>
            </w:tcBorders>
            <w:shd w:val="clear" w:color="auto" w:fill="auto"/>
            <w:noWrap/>
            <w:vAlign w:val="bottom"/>
            <w:hideMark/>
          </w:tcPr>
          <w:p w14:paraId="703121C3" w14:textId="77777777" w:rsidR="00AA25EB" w:rsidRPr="00AA25EB" w:rsidRDefault="00AA25EB" w:rsidP="00AA25EB">
            <w:pPr>
              <w:jc w:val="right"/>
              <w:rPr>
                <w:rFonts w:eastAsia="Times New Roman"/>
                <w:color w:val="000000"/>
                <w:position w:val="0"/>
              </w:rPr>
            </w:pPr>
            <w:r w:rsidRPr="00AA25EB">
              <w:rPr>
                <w:rFonts w:eastAsia="Times New Roman"/>
                <w:color w:val="000000"/>
                <w:position w:val="0"/>
              </w:rPr>
              <w:t>4%</w:t>
            </w:r>
          </w:p>
        </w:tc>
      </w:tr>
    </w:tbl>
    <w:p w14:paraId="76D93482" w14:textId="77777777" w:rsidR="00AA25EB" w:rsidRDefault="00AA25EB" w:rsidP="00AA25EB">
      <w:pPr>
        <w:ind w:left="180"/>
      </w:pPr>
    </w:p>
    <w:p w14:paraId="2C4EA8C3" w14:textId="77777777" w:rsidR="00E06FC4" w:rsidRDefault="00E06FC4" w:rsidP="00AA25EB">
      <w:pPr>
        <w:ind w:left="180"/>
      </w:pPr>
    </w:p>
    <w:p w14:paraId="60ACFE6E" w14:textId="77777777" w:rsidR="00E06FC4" w:rsidRDefault="00E06FC4" w:rsidP="003A6FF8"/>
    <w:p w14:paraId="67A9A7A3" w14:textId="77777777" w:rsidR="00E06FC4" w:rsidRDefault="00E06FC4" w:rsidP="00AA25EB">
      <w:pPr>
        <w:ind w:left="180"/>
      </w:pPr>
    </w:p>
    <w:p w14:paraId="7D66B09D" w14:textId="1C5AEB1D" w:rsidR="00E06FC4" w:rsidRPr="00E06FC4" w:rsidRDefault="00E06FC4" w:rsidP="00AA25EB">
      <w:pPr>
        <w:ind w:left="180"/>
        <w:rPr>
          <w:sz w:val="24"/>
        </w:rPr>
      </w:pPr>
      <w:r w:rsidRPr="00E06FC4">
        <w:rPr>
          <w:sz w:val="24"/>
        </w:rPr>
        <w:t xml:space="preserve">LAUSD charter schools are also outperforming with historically disadvantaged subgroups. All students at LA charters, as well as student subgroups, achieved higher percentages of students meeting and exceeding the standards than the </w:t>
      </w:r>
      <w:bookmarkStart w:id="1" w:name="OLE_LINK41"/>
      <w:bookmarkStart w:id="2" w:name="OLE_LINK42"/>
      <w:r w:rsidRPr="00E06FC4">
        <w:rPr>
          <w:sz w:val="24"/>
        </w:rPr>
        <w:t>overall traditional school average</w:t>
      </w:r>
      <w:bookmarkEnd w:id="1"/>
      <w:bookmarkEnd w:id="2"/>
      <w:r w:rsidRPr="00E06FC4">
        <w:rPr>
          <w:sz w:val="24"/>
        </w:rPr>
        <w:t xml:space="preserve">. </w:t>
      </w:r>
    </w:p>
    <w:p w14:paraId="66FA7A38" w14:textId="77777777" w:rsidR="00E06FC4" w:rsidRDefault="00E06FC4" w:rsidP="00AA25EB">
      <w:pPr>
        <w:ind w:left="180"/>
      </w:pPr>
    </w:p>
    <w:p w14:paraId="322FA982" w14:textId="13F70998" w:rsidR="00E06FC4" w:rsidRPr="00E06FC4" w:rsidRDefault="00E06FC4" w:rsidP="00AA25EB">
      <w:pPr>
        <w:ind w:left="180"/>
        <w:rPr>
          <w:b/>
        </w:rPr>
      </w:pPr>
      <w:r>
        <w:rPr>
          <w:b/>
        </w:rPr>
        <w:t xml:space="preserve">Figure 7: </w:t>
      </w:r>
      <w:r w:rsidR="003A6FF8">
        <w:rPr>
          <w:b/>
        </w:rPr>
        <w:t xml:space="preserve">LAUSD </w:t>
      </w:r>
      <w:r>
        <w:rPr>
          <w:b/>
        </w:rPr>
        <w:t xml:space="preserve">Charter Subgroups Outperform Traditional School Average </w:t>
      </w:r>
    </w:p>
    <w:p w14:paraId="39830D77" w14:textId="602F5D32" w:rsidR="00AA25EB" w:rsidRDefault="00AA25EB" w:rsidP="00AA25EB">
      <w:pPr>
        <w:ind w:left="180"/>
      </w:pPr>
      <w:r w:rsidRPr="00FF5A48">
        <w:rPr>
          <w:noProof/>
        </w:rPr>
        <mc:AlternateContent>
          <mc:Choice Requires="wps">
            <w:drawing>
              <wp:anchor distT="0" distB="0" distL="114300" distR="114300" simplePos="0" relativeHeight="251661312" behindDoc="0" locked="0" layoutInCell="1" allowOverlap="1" wp14:anchorId="2A3811A1" wp14:editId="40903231">
                <wp:simplePos x="0" y="0"/>
                <wp:positionH relativeFrom="column">
                  <wp:posOffset>3696335</wp:posOffset>
                </wp:positionH>
                <wp:positionV relativeFrom="paragraph">
                  <wp:posOffset>377190</wp:posOffset>
                </wp:positionV>
                <wp:extent cx="0" cy="1600200"/>
                <wp:effectExtent l="0" t="0" r="25400" b="25400"/>
                <wp:wrapNone/>
                <wp:docPr id="5" name="Straight Connector 5"/>
                <wp:cNvGraphicFramePr/>
                <a:graphic xmlns:a="http://schemas.openxmlformats.org/drawingml/2006/main">
                  <a:graphicData uri="http://schemas.microsoft.com/office/word/2010/wordprocessingShape">
                    <wps:wsp>
                      <wps:cNvCnPr/>
                      <wps:spPr>
                        <a:xfrm flipV="1">
                          <a:off x="0" y="0"/>
                          <a:ext cx="0" cy="1600200"/>
                        </a:xfrm>
                        <a:prstGeom prst="line">
                          <a:avLst/>
                        </a:prstGeom>
                        <a:ln>
                          <a:solidFill>
                            <a:schemeClr val="bg2">
                              <a:lumMod val="9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1117140E" id="Straight Connector 5"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291.05pt,29.7pt" to="291.05pt,155.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" strokecolor="#cfcdcd [2894]" strokeweight=".5pt">
                <v:stroke dashstyle="dash" joinstyle="miter"/>
              </v:line>
            </w:pict>
          </mc:Fallback>
        </mc:AlternateContent>
      </w:r>
      <w:r w:rsidRPr="00FF5A48">
        <w:rPr>
          <w:noProof/>
        </w:rPr>
        <w:drawing>
          <wp:inline distT="0" distB="0" distL="0" distR="0" wp14:anchorId="4883872D" wp14:editId="26E1B219">
            <wp:extent cx="4572000" cy="2518587"/>
            <wp:effectExtent l="0" t="0" r="25400" b="2159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E7353F">
        <w:t>er</w:t>
      </w:r>
      <w:bookmarkStart w:id="3" w:name="_GoBack"/>
      <w:bookmarkEnd w:id="3"/>
    </w:p>
    <w:p w14:paraId="4D3395A0" w14:textId="5C59168C" w:rsidR="003A6FF8" w:rsidRPr="003A6FF8" w:rsidRDefault="003A6FF8" w:rsidP="00AA25EB">
      <w:pPr>
        <w:ind w:left="180"/>
        <w:rPr>
          <w:i/>
          <w:sz w:val="20"/>
        </w:rPr>
      </w:pPr>
      <w:r>
        <w:rPr>
          <w:i/>
          <w:sz w:val="20"/>
        </w:rPr>
        <w:t>*Includes autonomous charter schools</w:t>
      </w:r>
      <w:r w:rsidRPr="003A6FF8">
        <w:rPr>
          <w:i/>
          <w:sz w:val="20"/>
        </w:rPr>
        <w:t xml:space="preserve"> </w:t>
      </w:r>
      <w:r>
        <w:rPr>
          <w:i/>
          <w:sz w:val="20"/>
        </w:rPr>
        <w:t>only</w:t>
      </w:r>
    </w:p>
    <w:p w14:paraId="5028CD8C" w14:textId="77777777" w:rsidR="00AA25EB" w:rsidRDefault="00AA25EB" w:rsidP="00AA25EB">
      <w:pPr>
        <w:ind w:left="180"/>
      </w:pPr>
    </w:p>
    <w:p w14:paraId="43F67E74" w14:textId="77777777" w:rsidR="003A6FF8" w:rsidRPr="00FF5A48" w:rsidRDefault="003A6FF8" w:rsidP="00AA25EB">
      <w:pPr>
        <w:ind w:left="180"/>
      </w:pPr>
    </w:p>
    <w:p w14:paraId="50CA41BA" w14:textId="77777777" w:rsidR="00AA25EB" w:rsidRPr="00FF5A48" w:rsidRDefault="00AA25EB" w:rsidP="00AA25EB">
      <w:pPr>
        <w:ind w:left="180"/>
        <w:rPr>
          <w:i/>
        </w:rPr>
      </w:pPr>
    </w:p>
    <w:p w14:paraId="6A37CF3F" w14:textId="30D13843" w:rsidR="00AA25EB" w:rsidRDefault="00AA25EB" w:rsidP="00AA25EB">
      <w:pPr>
        <w:ind w:left="180"/>
        <w:rPr>
          <w:b/>
          <w:i/>
          <w:sz w:val="24"/>
        </w:rPr>
      </w:pPr>
      <w:r w:rsidRPr="00FF5A48">
        <w:rPr>
          <w:b/>
          <w:i/>
          <w:sz w:val="24"/>
        </w:rPr>
        <w:t xml:space="preserve">Oakland Unified School District </w:t>
      </w:r>
    </w:p>
    <w:p w14:paraId="24489D60" w14:textId="77777777" w:rsidR="00E06FC4" w:rsidRDefault="00E06FC4" w:rsidP="00AA25EB">
      <w:pPr>
        <w:ind w:left="180"/>
        <w:rPr>
          <w:sz w:val="24"/>
        </w:rPr>
      </w:pPr>
    </w:p>
    <w:p w14:paraId="7857FD8B" w14:textId="39CFF222" w:rsidR="003A6FF8" w:rsidRDefault="003A6FF8" w:rsidP="00AA25EB">
      <w:pPr>
        <w:ind w:left="180"/>
        <w:rPr>
          <w:sz w:val="24"/>
        </w:rPr>
      </w:pPr>
      <w:r>
        <w:rPr>
          <w:sz w:val="24"/>
        </w:rPr>
        <w:t xml:space="preserve">Charter schools in Oakland continue to achieve higher levels of students meeting and exceeding standards in both ELA and math as compared to traditional schools. </w:t>
      </w:r>
    </w:p>
    <w:p w14:paraId="1AE85F71" w14:textId="77777777" w:rsidR="003A6FF8" w:rsidRDefault="003A6FF8" w:rsidP="003A6FF8">
      <w:pPr>
        <w:ind w:left="180"/>
        <w:rPr>
          <w:b/>
        </w:rPr>
      </w:pPr>
    </w:p>
    <w:p w14:paraId="62A6AFC3" w14:textId="1B2C8C9E" w:rsidR="003A6FF8" w:rsidRPr="003A6FF8" w:rsidRDefault="003A6FF8" w:rsidP="003A6FF8">
      <w:pPr>
        <w:ind w:left="180"/>
        <w:rPr>
          <w:b/>
        </w:rPr>
      </w:pPr>
      <w:r>
        <w:rPr>
          <w:b/>
        </w:rPr>
        <w:t>Figure 8</w:t>
      </w:r>
      <w:r w:rsidRPr="00FF5A48">
        <w:rPr>
          <w:b/>
        </w:rPr>
        <w:t xml:space="preserve">: </w:t>
      </w:r>
      <w:r>
        <w:rPr>
          <w:b/>
        </w:rPr>
        <w:t>OUSD</w:t>
      </w:r>
      <w:r w:rsidRPr="00FF5A48">
        <w:rPr>
          <w:b/>
        </w:rPr>
        <w:t xml:space="preserve"> Performance Levels</w:t>
      </w: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4"/>
        <w:gridCol w:w="1603"/>
        <w:gridCol w:w="1603"/>
        <w:gridCol w:w="1603"/>
        <w:gridCol w:w="1603"/>
        <w:gridCol w:w="1604"/>
      </w:tblGrid>
      <w:tr w:rsidR="003A6FF8" w:rsidRPr="003A6FF8" w14:paraId="343F14DF" w14:textId="77777777" w:rsidTr="003A6FF8">
        <w:trPr>
          <w:trHeight w:val="320"/>
        </w:trPr>
        <w:tc>
          <w:tcPr>
            <w:tcW w:w="1794" w:type="dxa"/>
            <w:shd w:val="clear" w:color="auto" w:fill="auto"/>
            <w:noWrap/>
            <w:vAlign w:val="bottom"/>
            <w:hideMark/>
          </w:tcPr>
          <w:p w14:paraId="375F2560" w14:textId="77777777" w:rsidR="003A6FF8" w:rsidRPr="003A6FF8" w:rsidRDefault="003A6FF8" w:rsidP="003A6FF8">
            <w:pPr>
              <w:rPr>
                <w:color w:val="auto"/>
                <w:position w:val="0"/>
                <w:szCs w:val="20"/>
              </w:rPr>
            </w:pPr>
          </w:p>
        </w:tc>
        <w:tc>
          <w:tcPr>
            <w:tcW w:w="1603" w:type="dxa"/>
            <w:shd w:val="clear" w:color="auto" w:fill="auto"/>
            <w:noWrap/>
            <w:hideMark/>
          </w:tcPr>
          <w:p w14:paraId="58299955"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Standard Not Met</w:t>
            </w:r>
          </w:p>
        </w:tc>
        <w:tc>
          <w:tcPr>
            <w:tcW w:w="1603" w:type="dxa"/>
            <w:shd w:val="clear" w:color="auto" w:fill="auto"/>
            <w:noWrap/>
            <w:hideMark/>
          </w:tcPr>
          <w:p w14:paraId="4EEC3A54"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Standard Nearly Met</w:t>
            </w:r>
          </w:p>
        </w:tc>
        <w:tc>
          <w:tcPr>
            <w:tcW w:w="1603" w:type="dxa"/>
            <w:shd w:val="clear" w:color="auto" w:fill="auto"/>
            <w:noWrap/>
            <w:hideMark/>
          </w:tcPr>
          <w:p w14:paraId="57868A4C"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Standard Met</w:t>
            </w:r>
          </w:p>
        </w:tc>
        <w:tc>
          <w:tcPr>
            <w:tcW w:w="1603" w:type="dxa"/>
            <w:shd w:val="clear" w:color="auto" w:fill="auto"/>
            <w:noWrap/>
            <w:hideMark/>
          </w:tcPr>
          <w:p w14:paraId="5F746105"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Standard Exceeded</w:t>
            </w:r>
          </w:p>
        </w:tc>
        <w:tc>
          <w:tcPr>
            <w:tcW w:w="1604" w:type="dxa"/>
            <w:shd w:val="clear" w:color="auto" w:fill="auto"/>
            <w:noWrap/>
            <w:hideMark/>
          </w:tcPr>
          <w:p w14:paraId="0EBAEDBD"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Standard Met or Exceeded</w:t>
            </w:r>
          </w:p>
        </w:tc>
      </w:tr>
      <w:tr w:rsidR="003A6FF8" w:rsidRPr="003A6FF8" w14:paraId="1ED5FDD0" w14:textId="77777777" w:rsidTr="003A6FF8">
        <w:trPr>
          <w:trHeight w:val="320"/>
        </w:trPr>
        <w:tc>
          <w:tcPr>
            <w:tcW w:w="1794" w:type="dxa"/>
            <w:shd w:val="clear" w:color="auto" w:fill="auto"/>
            <w:noWrap/>
            <w:vAlign w:val="bottom"/>
            <w:hideMark/>
          </w:tcPr>
          <w:p w14:paraId="7310851A"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Charter - ELA</w:t>
            </w:r>
          </w:p>
        </w:tc>
        <w:tc>
          <w:tcPr>
            <w:tcW w:w="1603" w:type="dxa"/>
            <w:shd w:val="clear" w:color="auto" w:fill="auto"/>
            <w:noWrap/>
            <w:vAlign w:val="center"/>
            <w:hideMark/>
          </w:tcPr>
          <w:p w14:paraId="5BCF2B55"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33%</w:t>
            </w:r>
          </w:p>
        </w:tc>
        <w:tc>
          <w:tcPr>
            <w:tcW w:w="1603" w:type="dxa"/>
            <w:shd w:val="clear" w:color="auto" w:fill="auto"/>
            <w:noWrap/>
            <w:vAlign w:val="center"/>
            <w:hideMark/>
          </w:tcPr>
          <w:p w14:paraId="35BE4381"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24%</w:t>
            </w:r>
          </w:p>
        </w:tc>
        <w:tc>
          <w:tcPr>
            <w:tcW w:w="1603" w:type="dxa"/>
            <w:shd w:val="clear" w:color="auto" w:fill="auto"/>
            <w:noWrap/>
            <w:vAlign w:val="center"/>
            <w:hideMark/>
          </w:tcPr>
          <w:p w14:paraId="5F308DB8"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26%</w:t>
            </w:r>
          </w:p>
        </w:tc>
        <w:tc>
          <w:tcPr>
            <w:tcW w:w="1603" w:type="dxa"/>
            <w:shd w:val="clear" w:color="auto" w:fill="auto"/>
            <w:noWrap/>
            <w:vAlign w:val="center"/>
            <w:hideMark/>
          </w:tcPr>
          <w:p w14:paraId="64B9AE39"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16%</w:t>
            </w:r>
          </w:p>
        </w:tc>
        <w:tc>
          <w:tcPr>
            <w:tcW w:w="1604" w:type="dxa"/>
            <w:shd w:val="clear" w:color="auto" w:fill="auto"/>
            <w:noWrap/>
            <w:vAlign w:val="center"/>
            <w:hideMark/>
          </w:tcPr>
          <w:p w14:paraId="425DAD81"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42%</w:t>
            </w:r>
          </w:p>
        </w:tc>
      </w:tr>
      <w:tr w:rsidR="003A6FF8" w:rsidRPr="003A6FF8" w14:paraId="67CA3152" w14:textId="77777777" w:rsidTr="003A6FF8">
        <w:trPr>
          <w:trHeight w:val="557"/>
        </w:trPr>
        <w:tc>
          <w:tcPr>
            <w:tcW w:w="1794" w:type="dxa"/>
            <w:shd w:val="clear" w:color="auto" w:fill="auto"/>
            <w:noWrap/>
            <w:vAlign w:val="bottom"/>
            <w:hideMark/>
          </w:tcPr>
          <w:p w14:paraId="1276E723"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Traditional - ELA</w:t>
            </w:r>
          </w:p>
        </w:tc>
        <w:tc>
          <w:tcPr>
            <w:tcW w:w="1603" w:type="dxa"/>
            <w:shd w:val="clear" w:color="auto" w:fill="auto"/>
            <w:noWrap/>
            <w:vAlign w:val="center"/>
            <w:hideMark/>
          </w:tcPr>
          <w:p w14:paraId="768DE3A2"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49%</w:t>
            </w:r>
          </w:p>
        </w:tc>
        <w:tc>
          <w:tcPr>
            <w:tcW w:w="1603" w:type="dxa"/>
            <w:shd w:val="clear" w:color="auto" w:fill="auto"/>
            <w:noWrap/>
            <w:vAlign w:val="center"/>
            <w:hideMark/>
          </w:tcPr>
          <w:p w14:paraId="3C62A75A"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23%</w:t>
            </w:r>
          </w:p>
        </w:tc>
        <w:tc>
          <w:tcPr>
            <w:tcW w:w="1603" w:type="dxa"/>
            <w:shd w:val="clear" w:color="auto" w:fill="auto"/>
            <w:noWrap/>
            <w:vAlign w:val="center"/>
            <w:hideMark/>
          </w:tcPr>
          <w:p w14:paraId="2FBAF7F2"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18%</w:t>
            </w:r>
          </w:p>
        </w:tc>
        <w:tc>
          <w:tcPr>
            <w:tcW w:w="1603" w:type="dxa"/>
            <w:shd w:val="clear" w:color="auto" w:fill="auto"/>
            <w:noWrap/>
            <w:vAlign w:val="center"/>
            <w:hideMark/>
          </w:tcPr>
          <w:p w14:paraId="32C6C6FF"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10%</w:t>
            </w:r>
          </w:p>
        </w:tc>
        <w:tc>
          <w:tcPr>
            <w:tcW w:w="1604" w:type="dxa"/>
            <w:shd w:val="clear" w:color="auto" w:fill="auto"/>
            <w:noWrap/>
            <w:vAlign w:val="center"/>
            <w:hideMark/>
          </w:tcPr>
          <w:p w14:paraId="0ECCF470"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28%</w:t>
            </w:r>
          </w:p>
        </w:tc>
      </w:tr>
      <w:tr w:rsidR="003A6FF8" w:rsidRPr="003A6FF8" w14:paraId="3177763E" w14:textId="77777777" w:rsidTr="003A6FF8">
        <w:trPr>
          <w:trHeight w:val="320"/>
        </w:trPr>
        <w:tc>
          <w:tcPr>
            <w:tcW w:w="1794" w:type="dxa"/>
            <w:shd w:val="clear" w:color="auto" w:fill="auto"/>
            <w:noWrap/>
            <w:vAlign w:val="bottom"/>
            <w:hideMark/>
          </w:tcPr>
          <w:p w14:paraId="52D2FF50"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Charter - Math</w:t>
            </w:r>
          </w:p>
        </w:tc>
        <w:tc>
          <w:tcPr>
            <w:tcW w:w="1603" w:type="dxa"/>
            <w:shd w:val="clear" w:color="auto" w:fill="auto"/>
            <w:noWrap/>
            <w:vAlign w:val="center"/>
            <w:hideMark/>
          </w:tcPr>
          <w:p w14:paraId="039988D1"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40%</w:t>
            </w:r>
          </w:p>
        </w:tc>
        <w:tc>
          <w:tcPr>
            <w:tcW w:w="1603" w:type="dxa"/>
            <w:shd w:val="clear" w:color="auto" w:fill="auto"/>
            <w:noWrap/>
            <w:vAlign w:val="center"/>
            <w:hideMark/>
          </w:tcPr>
          <w:p w14:paraId="34226ADB"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29%</w:t>
            </w:r>
          </w:p>
        </w:tc>
        <w:tc>
          <w:tcPr>
            <w:tcW w:w="1603" w:type="dxa"/>
            <w:shd w:val="clear" w:color="auto" w:fill="auto"/>
            <w:noWrap/>
            <w:vAlign w:val="center"/>
            <w:hideMark/>
          </w:tcPr>
          <w:p w14:paraId="276A1E7D"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18%</w:t>
            </w:r>
          </w:p>
        </w:tc>
        <w:tc>
          <w:tcPr>
            <w:tcW w:w="1603" w:type="dxa"/>
            <w:shd w:val="clear" w:color="auto" w:fill="auto"/>
            <w:noWrap/>
            <w:vAlign w:val="center"/>
            <w:hideMark/>
          </w:tcPr>
          <w:p w14:paraId="2D206D77"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14%</w:t>
            </w:r>
          </w:p>
        </w:tc>
        <w:tc>
          <w:tcPr>
            <w:tcW w:w="1604" w:type="dxa"/>
            <w:shd w:val="clear" w:color="auto" w:fill="auto"/>
            <w:noWrap/>
            <w:vAlign w:val="center"/>
            <w:hideMark/>
          </w:tcPr>
          <w:p w14:paraId="50142FB8"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31%</w:t>
            </w:r>
          </w:p>
        </w:tc>
      </w:tr>
      <w:tr w:rsidR="003A6FF8" w:rsidRPr="003A6FF8" w14:paraId="2433F558" w14:textId="77777777" w:rsidTr="003A6FF8">
        <w:trPr>
          <w:trHeight w:val="320"/>
        </w:trPr>
        <w:tc>
          <w:tcPr>
            <w:tcW w:w="1794" w:type="dxa"/>
            <w:shd w:val="clear" w:color="auto" w:fill="auto"/>
            <w:noWrap/>
            <w:vAlign w:val="bottom"/>
            <w:hideMark/>
          </w:tcPr>
          <w:p w14:paraId="4EFFFE8A"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Traditional - Math</w:t>
            </w:r>
          </w:p>
        </w:tc>
        <w:tc>
          <w:tcPr>
            <w:tcW w:w="1603" w:type="dxa"/>
            <w:shd w:val="clear" w:color="auto" w:fill="auto"/>
            <w:noWrap/>
            <w:vAlign w:val="center"/>
            <w:hideMark/>
          </w:tcPr>
          <w:p w14:paraId="4DD4E20D"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52%</w:t>
            </w:r>
          </w:p>
        </w:tc>
        <w:tc>
          <w:tcPr>
            <w:tcW w:w="1603" w:type="dxa"/>
            <w:shd w:val="clear" w:color="auto" w:fill="auto"/>
            <w:noWrap/>
            <w:vAlign w:val="center"/>
            <w:hideMark/>
          </w:tcPr>
          <w:p w14:paraId="7AF0F877"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25%</w:t>
            </w:r>
          </w:p>
        </w:tc>
        <w:tc>
          <w:tcPr>
            <w:tcW w:w="1603" w:type="dxa"/>
            <w:shd w:val="clear" w:color="auto" w:fill="auto"/>
            <w:noWrap/>
            <w:vAlign w:val="center"/>
            <w:hideMark/>
          </w:tcPr>
          <w:p w14:paraId="0978F514"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14%</w:t>
            </w:r>
          </w:p>
        </w:tc>
        <w:tc>
          <w:tcPr>
            <w:tcW w:w="1603" w:type="dxa"/>
            <w:shd w:val="clear" w:color="auto" w:fill="auto"/>
            <w:noWrap/>
            <w:vAlign w:val="center"/>
            <w:hideMark/>
          </w:tcPr>
          <w:p w14:paraId="005EBFE2"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9%</w:t>
            </w:r>
          </w:p>
        </w:tc>
        <w:tc>
          <w:tcPr>
            <w:tcW w:w="1604" w:type="dxa"/>
            <w:shd w:val="clear" w:color="auto" w:fill="auto"/>
            <w:noWrap/>
            <w:vAlign w:val="center"/>
            <w:hideMark/>
          </w:tcPr>
          <w:p w14:paraId="4DF3FCBE" w14:textId="77777777" w:rsidR="003A6FF8" w:rsidRPr="003A6FF8" w:rsidRDefault="003A6FF8" w:rsidP="003A6FF8">
            <w:pPr>
              <w:rPr>
                <w:rFonts w:eastAsia="Times New Roman"/>
                <w:color w:val="000000"/>
                <w:position w:val="0"/>
                <w:szCs w:val="24"/>
              </w:rPr>
            </w:pPr>
            <w:r w:rsidRPr="003A6FF8">
              <w:rPr>
                <w:rFonts w:eastAsia="Times New Roman"/>
                <w:color w:val="000000"/>
                <w:position w:val="0"/>
                <w:szCs w:val="24"/>
              </w:rPr>
              <w:t>23%</w:t>
            </w:r>
          </w:p>
        </w:tc>
      </w:tr>
    </w:tbl>
    <w:p w14:paraId="10CA2F77" w14:textId="77777777" w:rsidR="00E06FC4" w:rsidRPr="00E06FC4" w:rsidRDefault="00E06FC4" w:rsidP="00AA25EB">
      <w:pPr>
        <w:ind w:left="180"/>
        <w:rPr>
          <w:sz w:val="24"/>
        </w:rPr>
      </w:pPr>
    </w:p>
    <w:p w14:paraId="0BB9E0B4" w14:textId="77777777" w:rsidR="003A6FF8" w:rsidRDefault="003A6FF8" w:rsidP="003A6FF8">
      <w:pPr>
        <w:ind w:left="180"/>
        <w:rPr>
          <w:sz w:val="24"/>
        </w:rPr>
      </w:pPr>
    </w:p>
    <w:p w14:paraId="74EE0BE4" w14:textId="77777777" w:rsidR="003A6FF8" w:rsidRDefault="003A6FF8" w:rsidP="003A6FF8">
      <w:pPr>
        <w:ind w:left="180"/>
        <w:rPr>
          <w:sz w:val="24"/>
        </w:rPr>
      </w:pPr>
    </w:p>
    <w:p w14:paraId="6B4B1400" w14:textId="77777777" w:rsidR="003A6FF8" w:rsidRDefault="003A6FF8" w:rsidP="003A6FF8">
      <w:pPr>
        <w:ind w:left="180"/>
        <w:rPr>
          <w:sz w:val="24"/>
        </w:rPr>
      </w:pPr>
    </w:p>
    <w:p w14:paraId="3A4B2CAD" w14:textId="77777777" w:rsidR="003A6FF8" w:rsidRDefault="003A6FF8" w:rsidP="003A6FF8">
      <w:pPr>
        <w:ind w:left="180"/>
        <w:rPr>
          <w:sz w:val="24"/>
        </w:rPr>
      </w:pPr>
    </w:p>
    <w:p w14:paraId="70FDB93E" w14:textId="77777777" w:rsidR="003A6FF8" w:rsidRDefault="003A6FF8" w:rsidP="003A6FF8">
      <w:pPr>
        <w:ind w:left="180"/>
        <w:rPr>
          <w:sz w:val="24"/>
        </w:rPr>
      </w:pPr>
    </w:p>
    <w:p w14:paraId="50B87BE7" w14:textId="77777777" w:rsidR="003A6FF8" w:rsidRDefault="003A6FF8" w:rsidP="003A6FF8">
      <w:pPr>
        <w:ind w:left="180"/>
        <w:rPr>
          <w:sz w:val="24"/>
        </w:rPr>
      </w:pPr>
    </w:p>
    <w:p w14:paraId="0D28D3CA" w14:textId="50763AD6" w:rsidR="003A6FF8" w:rsidRPr="003A6FF8" w:rsidRDefault="003A6FF8" w:rsidP="003A6FF8">
      <w:pPr>
        <w:ind w:left="180"/>
        <w:rPr>
          <w:sz w:val="24"/>
        </w:rPr>
      </w:pPr>
      <w:r>
        <w:rPr>
          <w:sz w:val="24"/>
        </w:rPr>
        <w:t>O</w:t>
      </w:r>
      <w:r w:rsidRPr="00E06FC4">
        <w:rPr>
          <w:sz w:val="24"/>
        </w:rPr>
        <w:t xml:space="preserve">USD charter schools are also outperforming with historically disadvantaged subgroups. All students at </w:t>
      </w:r>
      <w:r>
        <w:rPr>
          <w:sz w:val="24"/>
        </w:rPr>
        <w:t>Oakland</w:t>
      </w:r>
      <w:r w:rsidRPr="00E06FC4">
        <w:rPr>
          <w:sz w:val="24"/>
        </w:rPr>
        <w:t xml:space="preserve"> charters, as well as student subgroups, achieved higher percentages of students meeting and exceeding the standards than the overall traditional school average. </w:t>
      </w:r>
    </w:p>
    <w:p w14:paraId="3F99D62A" w14:textId="77777777" w:rsidR="003A6FF8" w:rsidRDefault="003A6FF8" w:rsidP="003A6FF8">
      <w:pPr>
        <w:rPr>
          <w:b/>
        </w:rPr>
      </w:pPr>
    </w:p>
    <w:p w14:paraId="2F7E6CE5" w14:textId="6C44517D" w:rsidR="003A6FF8" w:rsidRPr="00E06FC4" w:rsidRDefault="003A6FF8" w:rsidP="003A6FF8">
      <w:pPr>
        <w:ind w:left="180"/>
        <w:rPr>
          <w:b/>
        </w:rPr>
      </w:pPr>
      <w:r>
        <w:rPr>
          <w:b/>
        </w:rPr>
        <w:t xml:space="preserve">Figure 9: OUSD Charter Subgroups Outperform Traditional School Average </w:t>
      </w:r>
    </w:p>
    <w:p w14:paraId="446CC8B6" w14:textId="2D072BBB" w:rsidR="00AA25EB" w:rsidRPr="00FF5A48" w:rsidRDefault="00AA25EB" w:rsidP="00AA25EB">
      <w:pPr>
        <w:ind w:left="180"/>
      </w:pPr>
      <w:r w:rsidRPr="00FF5A48">
        <w:rPr>
          <w:noProof/>
        </w:rPr>
        <mc:AlternateContent>
          <mc:Choice Requires="wps">
            <w:drawing>
              <wp:anchor distT="0" distB="0" distL="114300" distR="114300" simplePos="0" relativeHeight="251663360" behindDoc="0" locked="0" layoutInCell="1" allowOverlap="1" wp14:anchorId="6295DBD8" wp14:editId="66E4995F">
                <wp:simplePos x="0" y="0"/>
                <wp:positionH relativeFrom="column">
                  <wp:posOffset>3690548</wp:posOffset>
                </wp:positionH>
                <wp:positionV relativeFrom="paragraph">
                  <wp:posOffset>388210</wp:posOffset>
                </wp:positionV>
                <wp:extent cx="0" cy="1600200"/>
                <wp:effectExtent l="0" t="0" r="25400" b="25400"/>
                <wp:wrapNone/>
                <wp:docPr id="6" name="Straight Connector 6"/>
                <wp:cNvGraphicFramePr/>
                <a:graphic xmlns:a="http://schemas.openxmlformats.org/drawingml/2006/main">
                  <a:graphicData uri="http://schemas.microsoft.com/office/word/2010/wordprocessingShape">
                    <wps:wsp>
                      <wps:cNvCnPr/>
                      <wps:spPr>
                        <a:xfrm flipV="1">
                          <a:off x="0" y="0"/>
                          <a:ext cx="0" cy="1600200"/>
                        </a:xfrm>
                        <a:prstGeom prst="line">
                          <a:avLst/>
                        </a:prstGeom>
                        <a:ln>
                          <a:solidFill>
                            <a:schemeClr val="bg2">
                              <a:lumMod val="9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0695DD94" id="Straight Connector 6"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290.6pt,30.55pt" to="290.6pt,156.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" strokecolor="#cfcdcd [2894]" strokeweight=".5pt">
                <v:stroke dashstyle="dash" joinstyle="miter"/>
              </v:line>
            </w:pict>
          </mc:Fallback>
        </mc:AlternateContent>
      </w:r>
      <w:r w:rsidRPr="00FF5A48">
        <w:rPr>
          <w:noProof/>
        </w:rPr>
        <w:drawing>
          <wp:inline distT="0" distB="0" distL="0" distR="0" wp14:anchorId="637C92A0" wp14:editId="619B779D">
            <wp:extent cx="4572000" cy="2512799"/>
            <wp:effectExtent l="0" t="0" r="0" b="190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23AEA3E" w14:textId="77777777" w:rsidR="00A94320" w:rsidRPr="00FF5A48" w:rsidRDefault="00A94320" w:rsidP="00AA25EB">
      <w:pPr>
        <w:ind w:left="180"/>
      </w:pPr>
    </w:p>
    <w:p w14:paraId="79BB7FEB" w14:textId="77777777" w:rsidR="00AA25EB" w:rsidRDefault="00AA25EB" w:rsidP="00AA25EB">
      <w:pPr>
        <w:ind w:left="180"/>
      </w:pPr>
    </w:p>
    <w:p w14:paraId="68BCE0FF" w14:textId="77777777" w:rsidR="003A6FF8" w:rsidRPr="00FF5A48" w:rsidRDefault="003A6FF8" w:rsidP="00AA25EB">
      <w:pPr>
        <w:ind w:left="180"/>
      </w:pPr>
    </w:p>
    <w:tbl>
      <w:tblPr>
        <w:tblpPr w:leftFromText="180" w:rightFromText="180" w:vertAnchor="text" w:horzAnchor="page" w:tblpX="930" w:tblpY="919"/>
        <w:tblW w:w="9360" w:type="dxa"/>
        <w:tblLook w:val="04A0" w:firstRow="1" w:lastRow="0" w:firstColumn="1" w:lastColumn="0" w:noHBand="0" w:noVBand="1"/>
      </w:tblPr>
      <w:tblGrid>
        <w:gridCol w:w="9360"/>
      </w:tblGrid>
      <w:tr w:rsidR="0020729E" w:rsidRPr="00FF5A48" w14:paraId="5DC95BF9" w14:textId="77777777" w:rsidTr="0020729E">
        <w:trPr>
          <w:trHeight w:val="320"/>
        </w:trPr>
        <w:tc>
          <w:tcPr>
            <w:tcW w:w="9360" w:type="dxa"/>
            <w:tcBorders>
              <w:top w:val="nil"/>
              <w:left w:val="nil"/>
              <w:bottom w:val="nil"/>
              <w:right w:val="nil"/>
            </w:tcBorders>
            <w:shd w:val="clear" w:color="auto" w:fill="auto"/>
            <w:noWrap/>
            <w:vAlign w:val="bottom"/>
            <w:hideMark/>
          </w:tcPr>
          <w:p w14:paraId="1C615A13" w14:textId="77777777" w:rsidR="0020729E" w:rsidRPr="00FF5A48" w:rsidRDefault="0020729E" w:rsidP="00AA25EB">
            <w:pPr>
              <w:ind w:left="180"/>
              <w:rPr>
                <w:rFonts w:eastAsia="Times New Roman"/>
                <w:color w:val="000000"/>
                <w:position w:val="0"/>
                <w:sz w:val="15"/>
                <w:szCs w:val="15"/>
              </w:rPr>
            </w:pPr>
            <w:r w:rsidRPr="00FF5A48">
              <w:rPr>
                <w:rFonts w:eastAsia="Times New Roman"/>
                <w:color w:val="000000"/>
                <w:position w:val="0"/>
                <w:sz w:val="15"/>
                <w:szCs w:val="15"/>
              </w:rPr>
              <w:t>*Other includes American Indian, Pacific Islander, Filipino and Multi-Racial groups and nonresponses</w:t>
            </w:r>
            <w:r w:rsidRPr="00FF5A48">
              <w:rPr>
                <w:rFonts w:eastAsia="Times New Roman"/>
                <w:i/>
                <w:iCs/>
                <w:color w:val="000000"/>
                <w:position w:val="0"/>
                <w:sz w:val="15"/>
                <w:szCs w:val="15"/>
              </w:rPr>
              <w:t xml:space="preserve">. </w:t>
            </w:r>
          </w:p>
        </w:tc>
      </w:tr>
      <w:tr w:rsidR="0020729E" w:rsidRPr="00FF5A48" w14:paraId="7089FB96" w14:textId="77777777" w:rsidTr="0020729E">
        <w:trPr>
          <w:trHeight w:val="320"/>
        </w:trPr>
        <w:tc>
          <w:tcPr>
            <w:tcW w:w="9360" w:type="dxa"/>
            <w:tcBorders>
              <w:top w:val="nil"/>
              <w:left w:val="nil"/>
              <w:bottom w:val="nil"/>
              <w:right w:val="nil"/>
            </w:tcBorders>
            <w:shd w:val="clear" w:color="auto" w:fill="auto"/>
            <w:noWrap/>
            <w:vAlign w:val="bottom"/>
            <w:hideMark/>
          </w:tcPr>
          <w:p w14:paraId="10DA4DD4" w14:textId="77777777" w:rsidR="0020729E" w:rsidRPr="00FF5A48" w:rsidRDefault="0020729E" w:rsidP="00AA25EB">
            <w:pPr>
              <w:ind w:left="180"/>
              <w:rPr>
                <w:rFonts w:eastAsia="Times New Roman"/>
                <w:color w:val="000000"/>
                <w:position w:val="0"/>
                <w:sz w:val="15"/>
                <w:szCs w:val="15"/>
              </w:rPr>
            </w:pPr>
            <w:r w:rsidRPr="00FF5A48">
              <w:rPr>
                <w:rFonts w:eastAsia="Times New Roman"/>
                <w:color w:val="000000"/>
                <w:position w:val="0"/>
                <w:sz w:val="15"/>
                <w:szCs w:val="15"/>
              </w:rPr>
              <w:t>**Reported number is percent of test-takers on 2016 CAASPP and may not necessarily reflect actual enrollment (Source: California Department of Education)</w:t>
            </w:r>
          </w:p>
          <w:p w14:paraId="60C2D086" w14:textId="77777777" w:rsidR="0020729E" w:rsidRDefault="0020729E" w:rsidP="00AA25EB">
            <w:pPr>
              <w:ind w:left="180"/>
              <w:rPr>
                <w:rFonts w:eastAsia="Times New Roman"/>
                <w:color w:val="000000"/>
                <w:position w:val="0"/>
                <w:sz w:val="15"/>
                <w:szCs w:val="15"/>
              </w:rPr>
            </w:pPr>
            <w:r w:rsidRPr="00FF5A48">
              <w:rPr>
                <w:rFonts w:eastAsia="Times New Roman"/>
                <w:color w:val="000000"/>
                <w:position w:val="0"/>
                <w:sz w:val="15"/>
                <w:szCs w:val="15"/>
              </w:rPr>
              <w:t xml:space="preserve">†All analyses exclude Alternative, ASAM, and small schools (fewer than 11 test-takers). </w:t>
            </w:r>
          </w:p>
          <w:p w14:paraId="21E886D9" w14:textId="1C7B1B38" w:rsidR="003A6FF8" w:rsidRPr="00FF5A48" w:rsidRDefault="003A6FF8" w:rsidP="00AA25EB">
            <w:pPr>
              <w:ind w:left="180"/>
              <w:rPr>
                <w:rFonts w:eastAsia="Times New Roman"/>
                <w:color w:val="000000"/>
                <w:position w:val="0"/>
                <w:sz w:val="15"/>
                <w:szCs w:val="15"/>
              </w:rPr>
            </w:pPr>
            <w:r>
              <w:rPr>
                <w:rFonts w:eastAsia="Times New Roman"/>
                <w:color w:val="000000"/>
                <w:position w:val="0"/>
                <w:sz w:val="15"/>
                <w:szCs w:val="15"/>
              </w:rPr>
              <w:t xml:space="preserve">LAUSD and OUSD analyses include charter schools located within the district. </w:t>
            </w:r>
          </w:p>
        </w:tc>
      </w:tr>
    </w:tbl>
    <w:p w14:paraId="087879E4" w14:textId="1A0C799B" w:rsidR="00E3420F" w:rsidRPr="00FF5A48" w:rsidRDefault="00E3420F" w:rsidP="00AA25EB">
      <w:pPr>
        <w:ind w:left="180"/>
        <w:rPr>
          <w:sz w:val="21"/>
        </w:rPr>
      </w:pPr>
      <w:r w:rsidRPr="00FF5A48">
        <w:rPr>
          <w:sz w:val="21"/>
        </w:rPr>
        <w:t>Note: Data above were calculated on August 24, 2016</w:t>
      </w:r>
      <w:r w:rsidR="00D07A3F" w:rsidRPr="00FF5A48">
        <w:rPr>
          <w:sz w:val="21"/>
        </w:rPr>
        <w:t>. The initial file made public by the California Department of Education was a partial file</w:t>
      </w:r>
      <w:r w:rsidR="00E561CE" w:rsidRPr="00FF5A48">
        <w:rPr>
          <w:sz w:val="21"/>
        </w:rPr>
        <w:t xml:space="preserve"> including test records processed as of July 7, 2016. </w:t>
      </w:r>
      <w:r w:rsidR="00D07A3F" w:rsidRPr="00FF5A48">
        <w:rPr>
          <w:sz w:val="21"/>
        </w:rPr>
        <w:t xml:space="preserve">CCSA will update the analyses when the final results file is issued by the state. </w:t>
      </w:r>
    </w:p>
    <w:sectPr w:rsidR="00E3420F" w:rsidRPr="00FF5A48" w:rsidSect="00FF5A48">
      <w:headerReference w:type="default" r:id="rId14"/>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213E4E" w14:textId="77777777" w:rsidR="00E7353F" w:rsidRDefault="00E7353F" w:rsidP="00E41C88">
      <w:r>
        <w:separator/>
      </w:r>
    </w:p>
  </w:endnote>
  <w:endnote w:type="continuationSeparator" w:id="0">
    <w:p w14:paraId="2BB48255" w14:textId="77777777" w:rsidR="00E7353F" w:rsidRDefault="00E7353F" w:rsidP="00E41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0040B5" w14:textId="77777777" w:rsidR="00E7353F" w:rsidRDefault="00E7353F" w:rsidP="00E41C88">
      <w:r>
        <w:separator/>
      </w:r>
    </w:p>
  </w:footnote>
  <w:footnote w:type="continuationSeparator" w:id="0">
    <w:p w14:paraId="16C280E4" w14:textId="77777777" w:rsidR="00E7353F" w:rsidRDefault="00E7353F" w:rsidP="00E41C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AD771" w14:textId="77777777" w:rsidR="00E7353F" w:rsidRPr="00670CC5" w:rsidRDefault="00E7353F" w:rsidP="00670CC5">
    <w:pPr>
      <w:rPr>
        <w:b/>
      </w:rPr>
    </w:pPr>
    <w:r w:rsidRPr="00670CC5">
      <w:rPr>
        <w:b/>
      </w:rPr>
      <w:t xml:space="preserve">2016 </w:t>
    </w:r>
    <w:r w:rsidRPr="00670CC5">
      <w:rPr>
        <w:b/>
        <w:u w:val="single"/>
      </w:rPr>
      <w:t>Preliminary</w:t>
    </w:r>
    <w:r w:rsidRPr="00670CC5">
      <w:rPr>
        <w:b/>
      </w:rPr>
      <w:t xml:space="preserve"> SBAC Results</w:t>
    </w:r>
  </w:p>
  <w:p w14:paraId="5467F901" w14:textId="77777777" w:rsidR="00E7353F" w:rsidRDefault="00E735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047"/>
    <w:rsid w:val="000B04F2"/>
    <w:rsid w:val="000D55C0"/>
    <w:rsid w:val="00101142"/>
    <w:rsid w:val="0012171D"/>
    <w:rsid w:val="001B7D0A"/>
    <w:rsid w:val="001E1B5D"/>
    <w:rsid w:val="0020729E"/>
    <w:rsid w:val="0029279D"/>
    <w:rsid w:val="003442A1"/>
    <w:rsid w:val="003A6FF8"/>
    <w:rsid w:val="003E0A84"/>
    <w:rsid w:val="00475286"/>
    <w:rsid w:val="005D5613"/>
    <w:rsid w:val="00670CC5"/>
    <w:rsid w:val="00700047"/>
    <w:rsid w:val="007C0BC1"/>
    <w:rsid w:val="007C4E29"/>
    <w:rsid w:val="008148EB"/>
    <w:rsid w:val="00833EBE"/>
    <w:rsid w:val="008832A7"/>
    <w:rsid w:val="00896E5A"/>
    <w:rsid w:val="00925D66"/>
    <w:rsid w:val="009A4162"/>
    <w:rsid w:val="009D7348"/>
    <w:rsid w:val="009E2612"/>
    <w:rsid w:val="00A300E2"/>
    <w:rsid w:val="00A54445"/>
    <w:rsid w:val="00A94320"/>
    <w:rsid w:val="00AA25EB"/>
    <w:rsid w:val="00BA6CCF"/>
    <w:rsid w:val="00C27B0F"/>
    <w:rsid w:val="00C4774F"/>
    <w:rsid w:val="00D07A3F"/>
    <w:rsid w:val="00D639A7"/>
    <w:rsid w:val="00DB06D6"/>
    <w:rsid w:val="00DB085F"/>
    <w:rsid w:val="00DD188D"/>
    <w:rsid w:val="00E01F59"/>
    <w:rsid w:val="00E06FC4"/>
    <w:rsid w:val="00E3420F"/>
    <w:rsid w:val="00E41C88"/>
    <w:rsid w:val="00E561CE"/>
    <w:rsid w:val="00E7353F"/>
    <w:rsid w:val="00EF252C"/>
    <w:rsid w:val="00F00CEF"/>
    <w:rsid w:val="00FF5A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7C0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color w:val="2A2B2B"/>
        <w:position w:val="-1"/>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0A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41C88"/>
    <w:pPr>
      <w:tabs>
        <w:tab w:val="center" w:pos="4680"/>
        <w:tab w:val="right" w:pos="9360"/>
      </w:tabs>
    </w:pPr>
  </w:style>
  <w:style w:type="character" w:customStyle="1" w:styleId="HeaderChar">
    <w:name w:val="Header Char"/>
    <w:basedOn w:val="DefaultParagraphFont"/>
    <w:link w:val="Header"/>
    <w:uiPriority w:val="99"/>
    <w:rsid w:val="00E41C88"/>
  </w:style>
  <w:style w:type="paragraph" w:styleId="Footer">
    <w:name w:val="footer"/>
    <w:basedOn w:val="Normal"/>
    <w:link w:val="FooterChar"/>
    <w:uiPriority w:val="99"/>
    <w:unhideWhenUsed/>
    <w:rsid w:val="00E41C88"/>
    <w:pPr>
      <w:tabs>
        <w:tab w:val="center" w:pos="4680"/>
        <w:tab w:val="right" w:pos="9360"/>
      </w:tabs>
    </w:pPr>
  </w:style>
  <w:style w:type="character" w:customStyle="1" w:styleId="FooterChar">
    <w:name w:val="Footer Char"/>
    <w:basedOn w:val="DefaultParagraphFont"/>
    <w:link w:val="Footer"/>
    <w:uiPriority w:val="99"/>
    <w:rsid w:val="00E41C88"/>
  </w:style>
  <w:style w:type="character" w:styleId="Hyperlink">
    <w:name w:val="Hyperlink"/>
    <w:basedOn w:val="DefaultParagraphFont"/>
    <w:uiPriority w:val="99"/>
    <w:unhideWhenUsed/>
    <w:rsid w:val="00670CC5"/>
    <w:rPr>
      <w:color w:val="0563C1" w:themeColor="hyperlink"/>
      <w:u w:val="single"/>
    </w:rPr>
  </w:style>
  <w:style w:type="paragraph" w:styleId="BalloonText">
    <w:name w:val="Balloon Text"/>
    <w:basedOn w:val="Normal"/>
    <w:link w:val="BalloonTextChar"/>
    <w:uiPriority w:val="99"/>
    <w:semiHidden/>
    <w:unhideWhenUsed/>
    <w:rsid w:val="009A41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A416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color w:val="2A2B2B"/>
        <w:position w:val="-1"/>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0A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41C88"/>
    <w:pPr>
      <w:tabs>
        <w:tab w:val="center" w:pos="4680"/>
        <w:tab w:val="right" w:pos="9360"/>
      </w:tabs>
    </w:pPr>
  </w:style>
  <w:style w:type="character" w:customStyle="1" w:styleId="HeaderChar">
    <w:name w:val="Header Char"/>
    <w:basedOn w:val="DefaultParagraphFont"/>
    <w:link w:val="Header"/>
    <w:uiPriority w:val="99"/>
    <w:rsid w:val="00E41C88"/>
  </w:style>
  <w:style w:type="paragraph" w:styleId="Footer">
    <w:name w:val="footer"/>
    <w:basedOn w:val="Normal"/>
    <w:link w:val="FooterChar"/>
    <w:uiPriority w:val="99"/>
    <w:unhideWhenUsed/>
    <w:rsid w:val="00E41C88"/>
    <w:pPr>
      <w:tabs>
        <w:tab w:val="center" w:pos="4680"/>
        <w:tab w:val="right" w:pos="9360"/>
      </w:tabs>
    </w:pPr>
  </w:style>
  <w:style w:type="character" w:customStyle="1" w:styleId="FooterChar">
    <w:name w:val="Footer Char"/>
    <w:basedOn w:val="DefaultParagraphFont"/>
    <w:link w:val="Footer"/>
    <w:uiPriority w:val="99"/>
    <w:rsid w:val="00E41C88"/>
  </w:style>
  <w:style w:type="character" w:styleId="Hyperlink">
    <w:name w:val="Hyperlink"/>
    <w:basedOn w:val="DefaultParagraphFont"/>
    <w:uiPriority w:val="99"/>
    <w:unhideWhenUsed/>
    <w:rsid w:val="00670CC5"/>
    <w:rPr>
      <w:color w:val="0563C1" w:themeColor="hyperlink"/>
      <w:u w:val="single"/>
    </w:rPr>
  </w:style>
  <w:style w:type="paragraph" w:styleId="BalloonText">
    <w:name w:val="Balloon Text"/>
    <w:basedOn w:val="Normal"/>
    <w:link w:val="BalloonTextChar"/>
    <w:uiPriority w:val="99"/>
    <w:semiHidden/>
    <w:unhideWhenUsed/>
    <w:rsid w:val="009A41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A416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283775">
      <w:bodyDiv w:val="1"/>
      <w:marLeft w:val="0"/>
      <w:marRight w:val="0"/>
      <w:marTop w:val="0"/>
      <w:marBottom w:val="0"/>
      <w:divBdr>
        <w:top w:val="none" w:sz="0" w:space="0" w:color="auto"/>
        <w:left w:val="none" w:sz="0" w:space="0" w:color="auto"/>
        <w:bottom w:val="none" w:sz="0" w:space="0" w:color="auto"/>
        <w:right w:val="none" w:sz="0" w:space="0" w:color="auto"/>
      </w:divBdr>
    </w:div>
    <w:div w:id="294214286">
      <w:bodyDiv w:val="1"/>
      <w:marLeft w:val="0"/>
      <w:marRight w:val="0"/>
      <w:marTop w:val="0"/>
      <w:marBottom w:val="0"/>
      <w:divBdr>
        <w:top w:val="none" w:sz="0" w:space="0" w:color="auto"/>
        <w:left w:val="none" w:sz="0" w:space="0" w:color="auto"/>
        <w:bottom w:val="none" w:sz="0" w:space="0" w:color="auto"/>
        <w:right w:val="none" w:sz="0" w:space="0" w:color="auto"/>
      </w:divBdr>
    </w:div>
    <w:div w:id="524711946">
      <w:bodyDiv w:val="1"/>
      <w:marLeft w:val="0"/>
      <w:marRight w:val="0"/>
      <w:marTop w:val="0"/>
      <w:marBottom w:val="0"/>
      <w:divBdr>
        <w:top w:val="none" w:sz="0" w:space="0" w:color="auto"/>
        <w:left w:val="none" w:sz="0" w:space="0" w:color="auto"/>
        <w:bottom w:val="none" w:sz="0" w:space="0" w:color="auto"/>
        <w:right w:val="none" w:sz="0" w:space="0" w:color="auto"/>
      </w:divBdr>
    </w:div>
    <w:div w:id="620306014">
      <w:bodyDiv w:val="1"/>
      <w:marLeft w:val="0"/>
      <w:marRight w:val="0"/>
      <w:marTop w:val="0"/>
      <w:marBottom w:val="0"/>
      <w:divBdr>
        <w:top w:val="none" w:sz="0" w:space="0" w:color="auto"/>
        <w:left w:val="none" w:sz="0" w:space="0" w:color="auto"/>
        <w:bottom w:val="none" w:sz="0" w:space="0" w:color="auto"/>
        <w:right w:val="none" w:sz="0" w:space="0" w:color="auto"/>
      </w:divBdr>
    </w:div>
    <w:div w:id="834564676">
      <w:bodyDiv w:val="1"/>
      <w:marLeft w:val="0"/>
      <w:marRight w:val="0"/>
      <w:marTop w:val="0"/>
      <w:marBottom w:val="0"/>
      <w:divBdr>
        <w:top w:val="none" w:sz="0" w:space="0" w:color="auto"/>
        <w:left w:val="none" w:sz="0" w:space="0" w:color="auto"/>
        <w:bottom w:val="none" w:sz="0" w:space="0" w:color="auto"/>
        <w:right w:val="none" w:sz="0" w:space="0" w:color="auto"/>
      </w:divBdr>
    </w:div>
    <w:div w:id="1238713492">
      <w:bodyDiv w:val="1"/>
      <w:marLeft w:val="0"/>
      <w:marRight w:val="0"/>
      <w:marTop w:val="0"/>
      <w:marBottom w:val="0"/>
      <w:divBdr>
        <w:top w:val="none" w:sz="0" w:space="0" w:color="auto"/>
        <w:left w:val="none" w:sz="0" w:space="0" w:color="auto"/>
        <w:bottom w:val="none" w:sz="0" w:space="0" w:color="auto"/>
        <w:right w:val="none" w:sz="0" w:space="0" w:color="auto"/>
      </w:divBdr>
    </w:div>
    <w:div w:id="1620525265">
      <w:bodyDiv w:val="1"/>
      <w:marLeft w:val="0"/>
      <w:marRight w:val="0"/>
      <w:marTop w:val="0"/>
      <w:marBottom w:val="0"/>
      <w:divBdr>
        <w:top w:val="none" w:sz="0" w:space="0" w:color="auto"/>
        <w:left w:val="none" w:sz="0" w:space="0" w:color="auto"/>
        <w:bottom w:val="none" w:sz="0" w:space="0" w:color="auto"/>
        <w:right w:val="none" w:sz="0" w:space="0" w:color="auto"/>
      </w:divBdr>
    </w:div>
    <w:div w:id="1908418575">
      <w:bodyDiv w:val="1"/>
      <w:marLeft w:val="0"/>
      <w:marRight w:val="0"/>
      <w:marTop w:val="0"/>
      <w:marBottom w:val="0"/>
      <w:divBdr>
        <w:top w:val="none" w:sz="0" w:space="0" w:color="auto"/>
        <w:left w:val="none" w:sz="0" w:space="0" w:color="auto"/>
        <w:bottom w:val="none" w:sz="0" w:space="0" w:color="auto"/>
        <w:right w:val="none" w:sz="0" w:space="0" w:color="auto"/>
      </w:divBdr>
    </w:div>
    <w:div w:id="19835375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chart" Target="charts/chart4.xml"/><Relationship Id="rId12" Type="http://schemas.openxmlformats.org/officeDocument/2006/relationships/chart" Target="charts/chart5.xml"/><Relationship Id="rId13" Type="http://schemas.openxmlformats.org/officeDocument/2006/relationships/chart" Target="charts/chart6.xm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hart" Target="charts/chart1.xml"/><Relationship Id="rId8" Type="http://schemas.openxmlformats.org/officeDocument/2006/relationships/chart" Target="charts/chart2.xml"/><Relationship Id="rId9" Type="http://schemas.openxmlformats.org/officeDocument/2006/relationships/hyperlink" Target="http://www.ccsa.org/advocacy/accountability/apd.html" TargetMode="External"/><Relationship Id="rId10"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file://localhost/Users/EMartinez/Box%20Sync/Research%20and%20Evaluation%20Team%20and%20Performance%20Mgmt%20files/2.%20SBAC/2016%20SBAC%20Files/Analyses.xlsx" TargetMode="External"/><Relationship Id="rId2" Type="http://schemas.microsoft.com/office/2011/relationships/chartStyle" Target="style1.xml"/><Relationship Id="rId3" Type="http://schemas.microsoft.com/office/2011/relationships/chartColorStyle" Target="colors1.xml"/></Relationships>
</file>

<file path=word/charts/_rels/chart2.xml.rels><?xml version="1.0" encoding="UTF-8" standalone="yes"?>
<Relationships xmlns="http://schemas.openxmlformats.org/package/2006/relationships"><Relationship Id="rId1" Type="http://schemas.openxmlformats.org/officeDocument/2006/relationships/oleObject" Target="file://localhost/Users/EMartinez/Box%20Sync/Research%20and%20Evaluation%20Team%20and%20Performance%20Mgmt%20files/2.%20SBAC/2016%20SBAC%20Files/Analyses.xlsx" TargetMode="External"/><Relationship Id="rId2" Type="http://schemas.microsoft.com/office/2011/relationships/chartStyle" Target="style2.xml"/><Relationship Id="rId3" Type="http://schemas.microsoft.com/office/2011/relationships/chartColorStyle" Target="colors2.xml"/></Relationships>
</file>

<file path=word/charts/_rels/chart3.xml.rels><?xml version="1.0" encoding="UTF-8" standalone="yes"?>
<Relationships xmlns="http://schemas.openxmlformats.org/package/2006/relationships"><Relationship Id="rId1" Type="http://schemas.openxmlformats.org/officeDocument/2006/relationships/oleObject" Target="file://localhost/Users/EMartinez/Box%20Sync/Research%20and%20Evaluation%20Team%20and%20Performance%20Mgmt%20files/2.%20SBAC/2016%20SBAC%20Files/Subgroup%20Analyses%20em.xlsx" TargetMode="External"/><Relationship Id="rId2" Type="http://schemas.microsoft.com/office/2011/relationships/chartStyle" Target="style3.xml"/><Relationship Id="rId3" Type="http://schemas.microsoft.com/office/2011/relationships/chartColorStyle" Target="colors3.xml"/></Relationships>
</file>

<file path=word/charts/_rels/chart4.xml.rels><?xml version="1.0" encoding="UTF-8" standalone="yes"?>
<Relationships xmlns="http://schemas.openxmlformats.org/package/2006/relationships"><Relationship Id="rId1" Type="http://schemas.openxmlformats.org/officeDocument/2006/relationships/oleObject" Target="file://localhost/Users/EMartinez/Box%20Sync/Research%20and%20Evaluation%20Team%20and%20Performance%20Mgmt%20files/2.%20SBAC/2016%20SBAC%20Files/Subgroup%20Analyses%20em.xlsx" TargetMode="External"/><Relationship Id="rId2" Type="http://schemas.microsoft.com/office/2011/relationships/chartStyle" Target="style4.xml"/><Relationship Id="rId3" Type="http://schemas.microsoft.com/office/2011/relationships/chartColorStyle" Target="colors4.xml"/></Relationships>
</file>

<file path=word/charts/_rels/chart5.xml.rels><?xml version="1.0" encoding="UTF-8" standalone="yes"?>
<Relationships xmlns="http://schemas.openxmlformats.org/package/2006/relationships"><Relationship Id="rId1" Type="http://schemas.openxmlformats.org/officeDocument/2006/relationships/oleObject" Target="file://localhost/Users/EMartinez/Box%20Sync/Research%20and%20Evaluation%20Team%20and%20Performance%20Mgmt%20files/2.%20SBAC/2016%20SBAC%20Files/Subgroup%20Analyses%20em.xlsx" TargetMode="External"/><Relationship Id="rId2" Type="http://schemas.microsoft.com/office/2011/relationships/chartStyle" Target="style5.xml"/><Relationship Id="rId3" Type="http://schemas.microsoft.com/office/2011/relationships/chartColorStyle" Target="colors5.xml"/></Relationships>
</file>

<file path=word/charts/_rels/chart6.xml.rels><?xml version="1.0" encoding="UTF-8" standalone="yes"?>
<Relationships xmlns="http://schemas.openxmlformats.org/package/2006/relationships"><Relationship Id="rId1" Type="http://schemas.openxmlformats.org/officeDocument/2006/relationships/oleObject" Target="file://localhost/Users/EMartinez/Box%20Sync/Research%20and%20Evaluation%20Team%20and%20Performance%20Mgmt%20files/2.%20SBAC/2016%20SBAC%20Files/Subgroup%20Analyses%20em.xlsx" TargetMode="External"/><Relationship Id="rId2" Type="http://schemas.microsoft.com/office/2011/relationships/chartStyle" Target="style6.xml"/><Relationship Id="rId3" Type="http://schemas.microsoft.com/office/2011/relationships/chartColorStyle" Target="colors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Met/Exceeded Math</a:t>
            </a:r>
          </a:p>
        </c:rich>
      </c:tx>
      <c:layout/>
      <c:overlay val="0"/>
      <c:spPr>
        <a:noFill/>
        <a:ln>
          <a:noFill/>
        </a:ln>
        <a:effectLst/>
      </c:spPr>
    </c:title>
    <c:autoTitleDeleted val="0"/>
    <c:plotArea>
      <c:layout>
        <c:manualLayout>
          <c:layoutTarget val="inner"/>
          <c:xMode val="edge"/>
          <c:yMode val="edge"/>
          <c:x val="0.125426190658207"/>
          <c:y val="0.270240052614272"/>
          <c:w val="0.826030120021405"/>
          <c:h val="0.61137783623808"/>
        </c:manualLayout>
      </c:layout>
      <c:barChart>
        <c:barDir val="bar"/>
        <c:grouping val="clustered"/>
        <c:varyColors val="0"/>
        <c:ser>
          <c:idx val="0"/>
          <c:order val="0"/>
          <c:tx>
            <c:strRef>
              <c:f>CA!$T$12</c:f>
              <c:strCache>
                <c:ptCount val="1"/>
                <c:pt idx="0">
                  <c:v>Charter</c:v>
                </c:pt>
              </c:strCache>
            </c:strRef>
          </c:tx>
          <c:spPr>
            <a:solidFill>
              <a:srgbClr val="AB194E"/>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CA!$U$11:$V$11</c:f>
              <c:numCache>
                <c:formatCode>General</c:formatCode>
                <c:ptCount val="2"/>
                <c:pt idx="0">
                  <c:v>2016.0</c:v>
                </c:pt>
                <c:pt idx="1">
                  <c:v>2015.0</c:v>
                </c:pt>
              </c:numCache>
            </c:numRef>
          </c:cat>
          <c:val>
            <c:numRef>
              <c:f>CA!$U$12:$V$12</c:f>
              <c:numCache>
                <c:formatCode>0%</c:formatCode>
                <c:ptCount val="2"/>
                <c:pt idx="0">
                  <c:v>0.3492706</c:v>
                </c:pt>
                <c:pt idx="1">
                  <c:v>0.3263825</c:v>
                </c:pt>
              </c:numCache>
            </c:numRef>
          </c:val>
        </c:ser>
        <c:ser>
          <c:idx val="1"/>
          <c:order val="1"/>
          <c:tx>
            <c:strRef>
              <c:f>CA!$T$13</c:f>
              <c:strCache>
                <c:ptCount val="1"/>
                <c:pt idx="0">
                  <c:v>Traditional</c:v>
                </c:pt>
              </c:strCache>
            </c:strRef>
          </c:tx>
          <c:spPr>
            <a:solidFill>
              <a:srgbClr val="82858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CA!$U$11:$V$11</c:f>
              <c:numCache>
                <c:formatCode>General</c:formatCode>
                <c:ptCount val="2"/>
                <c:pt idx="0">
                  <c:v>2016.0</c:v>
                </c:pt>
                <c:pt idx="1">
                  <c:v>2015.0</c:v>
                </c:pt>
              </c:numCache>
            </c:numRef>
          </c:cat>
          <c:val>
            <c:numRef>
              <c:f>CA!$U$13:$V$13</c:f>
              <c:numCache>
                <c:formatCode>0%</c:formatCode>
                <c:ptCount val="2"/>
                <c:pt idx="0">
                  <c:v>0.3663543</c:v>
                </c:pt>
                <c:pt idx="1">
                  <c:v>0.3335429</c:v>
                </c:pt>
              </c:numCache>
            </c:numRef>
          </c:val>
        </c:ser>
        <c:dLbls>
          <c:dLblPos val="outEnd"/>
          <c:showLegendKey val="0"/>
          <c:showVal val="1"/>
          <c:showCatName val="0"/>
          <c:showSerName val="0"/>
          <c:showPercent val="0"/>
          <c:showBubbleSize val="0"/>
        </c:dLbls>
        <c:gapWidth val="90"/>
        <c:axId val="2117448248"/>
        <c:axId val="2144301608"/>
      </c:barChart>
      <c:catAx>
        <c:axId val="211744824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4301608"/>
        <c:crosses val="autoZero"/>
        <c:auto val="1"/>
        <c:lblAlgn val="ctr"/>
        <c:lblOffset val="100"/>
        <c:noMultiLvlLbl val="0"/>
      </c:catAx>
      <c:valAx>
        <c:axId val="2144301608"/>
        <c:scaling>
          <c:orientation val="minMax"/>
          <c:max val="0.6"/>
          <c:min val="0.0"/>
        </c:scaling>
        <c:delete val="1"/>
        <c:axPos val="t"/>
        <c:numFmt formatCode="0%" sourceLinked="0"/>
        <c:majorTickMark val="out"/>
        <c:minorTickMark val="none"/>
        <c:tickLblPos val="nextTo"/>
        <c:crossAx val="211744824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Met/Exceeded ELA</a:t>
            </a:r>
          </a:p>
        </c:rich>
      </c:tx>
      <c:layout/>
      <c:overlay val="0"/>
      <c:spPr>
        <a:noFill/>
        <a:ln>
          <a:noFill/>
        </a:ln>
        <a:effectLst/>
      </c:spPr>
    </c:title>
    <c:autoTitleDeleted val="0"/>
    <c:plotArea>
      <c:layout/>
      <c:barChart>
        <c:barDir val="bar"/>
        <c:grouping val="clustered"/>
        <c:varyColors val="0"/>
        <c:ser>
          <c:idx val="0"/>
          <c:order val="0"/>
          <c:tx>
            <c:strRef>
              <c:f>CA!$T$8</c:f>
              <c:strCache>
                <c:ptCount val="1"/>
                <c:pt idx="0">
                  <c:v>Charter</c:v>
                </c:pt>
              </c:strCache>
            </c:strRef>
          </c:tx>
          <c:spPr>
            <a:solidFill>
              <a:srgbClr val="AB194E"/>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CA!$U$7:$V$7</c:f>
              <c:numCache>
                <c:formatCode>General</c:formatCode>
                <c:ptCount val="2"/>
                <c:pt idx="0">
                  <c:v>2016.0</c:v>
                </c:pt>
                <c:pt idx="1">
                  <c:v>2015.0</c:v>
                </c:pt>
              </c:numCache>
            </c:numRef>
          </c:cat>
          <c:val>
            <c:numRef>
              <c:f>CA!$U$8:$V$8</c:f>
              <c:numCache>
                <c:formatCode>0%</c:formatCode>
                <c:ptCount val="2"/>
                <c:pt idx="0">
                  <c:v>0.501094</c:v>
                </c:pt>
                <c:pt idx="1">
                  <c:v>0.4587124</c:v>
                </c:pt>
              </c:numCache>
            </c:numRef>
          </c:val>
        </c:ser>
        <c:ser>
          <c:idx val="1"/>
          <c:order val="1"/>
          <c:tx>
            <c:strRef>
              <c:f>CA!$T$9</c:f>
              <c:strCache>
                <c:ptCount val="1"/>
                <c:pt idx="0">
                  <c:v>Traditional</c:v>
                </c:pt>
              </c:strCache>
            </c:strRef>
          </c:tx>
          <c:spPr>
            <a:solidFill>
              <a:srgbClr val="82858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CA!$U$7:$V$7</c:f>
              <c:numCache>
                <c:formatCode>General</c:formatCode>
                <c:ptCount val="2"/>
                <c:pt idx="0">
                  <c:v>2016.0</c:v>
                </c:pt>
                <c:pt idx="1">
                  <c:v>2015.0</c:v>
                </c:pt>
              </c:numCache>
            </c:numRef>
          </c:cat>
          <c:val>
            <c:numRef>
              <c:f>CA!$U$9:$V$9</c:f>
              <c:numCache>
                <c:formatCode>0%</c:formatCode>
                <c:ptCount val="2"/>
                <c:pt idx="0">
                  <c:v>0.4713912</c:v>
                </c:pt>
                <c:pt idx="1">
                  <c:v>0.429105</c:v>
                </c:pt>
              </c:numCache>
            </c:numRef>
          </c:val>
        </c:ser>
        <c:dLbls>
          <c:dLblPos val="outEnd"/>
          <c:showLegendKey val="0"/>
          <c:showVal val="1"/>
          <c:showCatName val="0"/>
          <c:showSerName val="0"/>
          <c:showPercent val="0"/>
          <c:showBubbleSize val="0"/>
        </c:dLbls>
        <c:gapWidth val="90"/>
        <c:axId val="2143480408"/>
        <c:axId val="2144248856"/>
      </c:barChart>
      <c:catAx>
        <c:axId val="214348040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4248856"/>
        <c:crosses val="autoZero"/>
        <c:auto val="1"/>
        <c:lblAlgn val="ctr"/>
        <c:lblOffset val="100"/>
        <c:noMultiLvlLbl val="0"/>
      </c:catAx>
      <c:valAx>
        <c:axId val="2144248856"/>
        <c:scaling>
          <c:orientation val="minMax"/>
          <c:max val="0.6"/>
          <c:min val="0.0"/>
        </c:scaling>
        <c:delete val="1"/>
        <c:axPos val="t"/>
        <c:numFmt formatCode="0%" sourceLinked="0"/>
        <c:majorTickMark val="out"/>
        <c:minorTickMark val="none"/>
        <c:tickLblPos val="nextTo"/>
        <c:crossAx val="2143480408"/>
        <c:crosses val="autoZero"/>
        <c:crossBetween val="between"/>
      </c:valAx>
      <c:spPr>
        <a:noFill/>
        <a:ln>
          <a:noFill/>
        </a:ln>
        <a:effectLst/>
      </c:spPr>
    </c:plotArea>
    <c:legend>
      <c:legendPos val="b"/>
      <c:layout>
        <c:manualLayout>
          <c:xMode val="edge"/>
          <c:yMode val="edge"/>
          <c:x val="0.609952461549783"/>
          <c:y val="0.841911069939787"/>
          <c:w val="0.390047538450217"/>
          <c:h val="0.11103010653080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Math (2016)</a:t>
            </a:r>
          </a:p>
        </c:rich>
      </c:tx>
      <c:layout/>
      <c:overlay val="0"/>
      <c:spPr>
        <a:noFill/>
        <a:ln>
          <a:noFill/>
        </a:ln>
        <a:effectLst/>
      </c:spPr>
    </c:title>
    <c:autoTitleDeleted val="0"/>
    <c:plotArea>
      <c:layout/>
      <c:barChart>
        <c:barDir val="col"/>
        <c:grouping val="clustered"/>
        <c:varyColors val="0"/>
        <c:ser>
          <c:idx val="0"/>
          <c:order val="0"/>
          <c:tx>
            <c:strRef>
              <c:f>CA!$AA$46</c:f>
              <c:strCache>
                <c:ptCount val="1"/>
                <c:pt idx="0">
                  <c:v>Charters</c:v>
                </c:pt>
              </c:strCache>
            </c:strRef>
          </c:tx>
          <c:spPr>
            <a:solidFill>
              <a:srgbClr val="AB194E"/>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CA!$AB$45:$AE$45</c:f>
              <c:strCache>
                <c:ptCount val="4"/>
                <c:pt idx="0">
                  <c:v>All Students</c:v>
                </c:pt>
                <c:pt idx="1">
                  <c:v>Latino</c:v>
                </c:pt>
                <c:pt idx="2">
                  <c:v>African American</c:v>
                </c:pt>
                <c:pt idx="3">
                  <c:v>Low Income</c:v>
                </c:pt>
              </c:strCache>
            </c:strRef>
          </c:cat>
          <c:val>
            <c:numRef>
              <c:f>CA!$AB$46:$AE$46</c:f>
              <c:numCache>
                <c:formatCode>0%</c:formatCode>
                <c:ptCount val="4"/>
                <c:pt idx="0">
                  <c:v>0.35385</c:v>
                </c:pt>
                <c:pt idx="1">
                  <c:v>0.2901722</c:v>
                </c:pt>
                <c:pt idx="2">
                  <c:v>0.2232905</c:v>
                </c:pt>
                <c:pt idx="3">
                  <c:v>0.2777033</c:v>
                </c:pt>
              </c:numCache>
            </c:numRef>
          </c:val>
        </c:ser>
        <c:ser>
          <c:idx val="1"/>
          <c:order val="1"/>
          <c:tx>
            <c:strRef>
              <c:f>CA!$AA$47</c:f>
              <c:strCache>
                <c:ptCount val="1"/>
                <c:pt idx="0">
                  <c:v>Traditionals</c:v>
                </c:pt>
              </c:strCache>
            </c:strRef>
          </c:tx>
          <c:spPr>
            <a:solidFill>
              <a:srgbClr val="82858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CA!$AB$45:$AE$45</c:f>
              <c:strCache>
                <c:ptCount val="4"/>
                <c:pt idx="0">
                  <c:v>All Students</c:v>
                </c:pt>
                <c:pt idx="1">
                  <c:v>Latino</c:v>
                </c:pt>
                <c:pt idx="2">
                  <c:v>African American</c:v>
                </c:pt>
                <c:pt idx="3">
                  <c:v>Low Income</c:v>
                </c:pt>
              </c:strCache>
            </c:strRef>
          </c:cat>
          <c:val>
            <c:numRef>
              <c:f>CA!$AB$47:$AE$47</c:f>
              <c:numCache>
                <c:formatCode>0%</c:formatCode>
                <c:ptCount val="4"/>
                <c:pt idx="0">
                  <c:v>0.3668212</c:v>
                </c:pt>
                <c:pt idx="1">
                  <c:v>0.2863736</c:v>
                </c:pt>
                <c:pt idx="2">
                  <c:v>0.2084961</c:v>
                </c:pt>
                <c:pt idx="3">
                  <c:v>0.2763037</c:v>
                </c:pt>
              </c:numCache>
            </c:numRef>
          </c:val>
        </c:ser>
        <c:dLbls>
          <c:dLblPos val="outEnd"/>
          <c:showLegendKey val="0"/>
          <c:showVal val="1"/>
          <c:showCatName val="0"/>
          <c:showSerName val="0"/>
          <c:showPercent val="0"/>
          <c:showBubbleSize val="0"/>
        </c:dLbls>
        <c:gapWidth val="219"/>
        <c:overlap val="-27"/>
        <c:axId val="2143689400"/>
        <c:axId val="2143692808"/>
      </c:barChart>
      <c:catAx>
        <c:axId val="21436894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3692808"/>
        <c:crosses val="autoZero"/>
        <c:auto val="1"/>
        <c:lblAlgn val="ctr"/>
        <c:lblOffset val="100"/>
        <c:noMultiLvlLbl val="0"/>
      </c:catAx>
      <c:valAx>
        <c:axId val="2143692808"/>
        <c:scaling>
          <c:orientation val="minMax"/>
        </c:scaling>
        <c:delete val="1"/>
        <c:axPos val="l"/>
        <c:numFmt formatCode="0%" sourceLinked="0"/>
        <c:majorTickMark val="none"/>
        <c:minorTickMark val="none"/>
        <c:tickLblPos val="nextTo"/>
        <c:crossAx val="2143689400"/>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ELA (2016)</a:t>
            </a:r>
          </a:p>
        </c:rich>
      </c:tx>
      <c:layout/>
      <c:overlay val="0"/>
      <c:spPr>
        <a:noFill/>
        <a:ln>
          <a:noFill/>
        </a:ln>
        <a:effectLst/>
      </c:spPr>
    </c:title>
    <c:autoTitleDeleted val="0"/>
    <c:plotArea>
      <c:layout/>
      <c:barChart>
        <c:barDir val="col"/>
        <c:grouping val="clustered"/>
        <c:varyColors val="0"/>
        <c:ser>
          <c:idx val="0"/>
          <c:order val="0"/>
          <c:tx>
            <c:strRef>
              <c:f>CA!$AA$42</c:f>
              <c:strCache>
                <c:ptCount val="1"/>
                <c:pt idx="0">
                  <c:v>Charters</c:v>
                </c:pt>
              </c:strCache>
            </c:strRef>
          </c:tx>
          <c:spPr>
            <a:solidFill>
              <a:srgbClr val="AB194E"/>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CA!$AB$41:$AE$41</c:f>
              <c:strCache>
                <c:ptCount val="4"/>
                <c:pt idx="0">
                  <c:v>All Students</c:v>
                </c:pt>
                <c:pt idx="1">
                  <c:v>Latino</c:v>
                </c:pt>
                <c:pt idx="2">
                  <c:v>African American</c:v>
                </c:pt>
                <c:pt idx="3">
                  <c:v>Low Income</c:v>
                </c:pt>
              </c:strCache>
            </c:strRef>
          </c:cat>
          <c:val>
            <c:numRef>
              <c:f>CA!$AB$42:$AE$42</c:f>
              <c:numCache>
                <c:formatCode>0%</c:formatCode>
                <c:ptCount val="4"/>
                <c:pt idx="0">
                  <c:v>0.50224</c:v>
                </c:pt>
                <c:pt idx="1">
                  <c:v>0.445253</c:v>
                </c:pt>
                <c:pt idx="2">
                  <c:v>0.3845501</c:v>
                </c:pt>
                <c:pt idx="3">
                  <c:v>0.4255055</c:v>
                </c:pt>
              </c:numCache>
            </c:numRef>
          </c:val>
        </c:ser>
        <c:ser>
          <c:idx val="1"/>
          <c:order val="1"/>
          <c:tx>
            <c:strRef>
              <c:f>CA!$AA$43</c:f>
              <c:strCache>
                <c:ptCount val="1"/>
                <c:pt idx="0">
                  <c:v>Traditionals</c:v>
                </c:pt>
              </c:strCache>
            </c:strRef>
          </c:tx>
          <c:spPr>
            <a:solidFill>
              <a:srgbClr val="82858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CA!$AB$41:$AE$41</c:f>
              <c:strCache>
                <c:ptCount val="4"/>
                <c:pt idx="0">
                  <c:v>All Students</c:v>
                </c:pt>
                <c:pt idx="1">
                  <c:v>Latino</c:v>
                </c:pt>
                <c:pt idx="2">
                  <c:v>African American</c:v>
                </c:pt>
                <c:pt idx="3">
                  <c:v>Low Income</c:v>
                </c:pt>
              </c:strCache>
            </c:strRef>
          </c:cat>
          <c:val>
            <c:numRef>
              <c:f>CA!$AB$43:$AE$43</c:f>
              <c:numCache>
                <c:formatCode>0%</c:formatCode>
                <c:ptCount val="4"/>
                <c:pt idx="0">
                  <c:v>0.4714803</c:v>
                </c:pt>
                <c:pt idx="1">
                  <c:v>0.4038521</c:v>
                </c:pt>
                <c:pt idx="2">
                  <c:v>0.3395726</c:v>
                </c:pt>
                <c:pt idx="3">
                  <c:v>0.3851661</c:v>
                </c:pt>
              </c:numCache>
            </c:numRef>
          </c:val>
        </c:ser>
        <c:dLbls>
          <c:dLblPos val="outEnd"/>
          <c:showLegendKey val="0"/>
          <c:showVal val="1"/>
          <c:showCatName val="0"/>
          <c:showSerName val="0"/>
          <c:showPercent val="0"/>
          <c:showBubbleSize val="0"/>
        </c:dLbls>
        <c:gapWidth val="219"/>
        <c:overlap val="-27"/>
        <c:axId val="2143330296"/>
        <c:axId val="2143333704"/>
      </c:barChart>
      <c:catAx>
        <c:axId val="2143330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3333704"/>
        <c:crosses val="autoZero"/>
        <c:auto val="1"/>
        <c:lblAlgn val="ctr"/>
        <c:lblOffset val="100"/>
        <c:noMultiLvlLbl val="0"/>
      </c:catAx>
      <c:valAx>
        <c:axId val="2143333704"/>
        <c:scaling>
          <c:orientation val="minMax"/>
        </c:scaling>
        <c:delete val="1"/>
        <c:axPos val="l"/>
        <c:numFmt formatCode="0%" sourceLinked="0"/>
        <c:majorTickMark val="none"/>
        <c:minorTickMark val="none"/>
        <c:tickLblPos val="nextTo"/>
        <c:crossAx val="2143330296"/>
        <c:crosses val="autoZero"/>
        <c:crossBetween val="between"/>
      </c:valAx>
      <c:spPr>
        <a:noFill/>
        <a:ln>
          <a:noFill/>
        </a:ln>
        <a:effectLst/>
      </c:spPr>
    </c:plotArea>
    <c:legend>
      <c:legendPos val="b"/>
      <c:layout>
        <c:manualLayout>
          <c:xMode val="edge"/>
          <c:yMode val="edge"/>
          <c:x val="0.627433890824902"/>
          <c:y val="0.855848924176957"/>
          <c:w val="0.345438497063824"/>
          <c:h val="0.10515386133836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LAUSD % Met/Exceeded</a:t>
            </a:r>
            <a:r>
              <a:rPr lang="en-US" baseline="0"/>
              <a:t> </a:t>
            </a:r>
            <a:r>
              <a:rPr lang="en-US"/>
              <a:t>Standard (2016)</a:t>
            </a:r>
          </a:p>
        </c:rich>
      </c:tx>
      <c:layout/>
      <c:overlay val="0"/>
      <c:spPr>
        <a:noFill/>
        <a:ln>
          <a:noFill/>
        </a:ln>
        <a:effectLst/>
      </c:spPr>
    </c:title>
    <c:autoTitleDeleted val="0"/>
    <c:plotArea>
      <c:layout>
        <c:manualLayout>
          <c:layoutTarget val="inner"/>
          <c:xMode val="edge"/>
          <c:yMode val="edge"/>
          <c:x val="0.00833333333333333"/>
          <c:y val="0.205748468279589"/>
          <c:w val="0.927777777777778"/>
          <c:h val="0.485728296822201"/>
        </c:manualLayout>
      </c:layout>
      <c:barChart>
        <c:barDir val="col"/>
        <c:grouping val="clustered"/>
        <c:varyColors val="0"/>
        <c:ser>
          <c:idx val="0"/>
          <c:order val="0"/>
          <c:tx>
            <c:strRef>
              <c:f>LAUSD!$AL$16</c:f>
              <c:strCache>
                <c:ptCount val="1"/>
                <c:pt idx="0">
                  <c:v>ELA</c:v>
                </c:pt>
              </c:strCache>
            </c:strRef>
          </c:tx>
          <c:spPr>
            <a:solidFill>
              <a:srgbClr val="AB194E"/>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LAUSD!$AM$15:$AQ$15</c:f>
              <c:strCache>
                <c:ptCount val="5"/>
                <c:pt idx="0">
                  <c:v>All Charter Students</c:v>
                </c:pt>
                <c:pt idx="1">
                  <c:v>Latino Charter Students</c:v>
                </c:pt>
                <c:pt idx="2">
                  <c:v>African American Charter Students</c:v>
                </c:pt>
                <c:pt idx="3">
                  <c:v>Low Income Charter Students</c:v>
                </c:pt>
                <c:pt idx="4">
                  <c:v>All Traditional Students</c:v>
                </c:pt>
              </c:strCache>
            </c:strRef>
          </c:cat>
          <c:val>
            <c:numRef>
              <c:f>LAUSD!$AM$16:$AQ$16</c:f>
              <c:numCache>
                <c:formatCode>0%</c:formatCode>
                <c:ptCount val="5"/>
                <c:pt idx="0">
                  <c:v>0.4609524</c:v>
                </c:pt>
                <c:pt idx="1">
                  <c:v>0.4476471</c:v>
                </c:pt>
                <c:pt idx="2">
                  <c:v>0.3819277</c:v>
                </c:pt>
                <c:pt idx="3">
                  <c:v>0.4376355</c:v>
                </c:pt>
                <c:pt idx="4">
                  <c:v>0.3714171</c:v>
                </c:pt>
              </c:numCache>
            </c:numRef>
          </c:val>
        </c:ser>
        <c:ser>
          <c:idx val="1"/>
          <c:order val="1"/>
          <c:tx>
            <c:strRef>
              <c:f>LAUSD!$AL$17</c:f>
              <c:strCache>
                <c:ptCount val="1"/>
                <c:pt idx="0">
                  <c:v>Math</c:v>
                </c:pt>
              </c:strCache>
            </c:strRef>
          </c:tx>
          <c:spPr>
            <a:solidFill>
              <a:srgbClr val="82858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LAUSD!$AM$15:$AQ$15</c:f>
              <c:strCache>
                <c:ptCount val="5"/>
                <c:pt idx="0">
                  <c:v>All Charter Students</c:v>
                </c:pt>
                <c:pt idx="1">
                  <c:v>Latino Charter Students</c:v>
                </c:pt>
                <c:pt idx="2">
                  <c:v>African American Charter Students</c:v>
                </c:pt>
                <c:pt idx="3">
                  <c:v>Low Income Charter Students</c:v>
                </c:pt>
                <c:pt idx="4">
                  <c:v>All Traditional Students</c:v>
                </c:pt>
              </c:strCache>
            </c:strRef>
          </c:cat>
          <c:val>
            <c:numRef>
              <c:f>LAUSD!$AM$17:$AQ$17</c:f>
              <c:numCache>
                <c:formatCode>0%</c:formatCode>
                <c:ptCount val="5"/>
                <c:pt idx="0">
                  <c:v>0.3047143</c:v>
                </c:pt>
                <c:pt idx="1">
                  <c:v>0.2895588</c:v>
                </c:pt>
                <c:pt idx="2">
                  <c:v>0.2024096</c:v>
                </c:pt>
                <c:pt idx="3">
                  <c:v>0.2801478</c:v>
                </c:pt>
                <c:pt idx="4">
                  <c:v>0.2621578</c:v>
                </c:pt>
              </c:numCache>
            </c:numRef>
          </c:val>
        </c:ser>
        <c:dLbls>
          <c:dLblPos val="outEnd"/>
          <c:showLegendKey val="0"/>
          <c:showVal val="1"/>
          <c:showCatName val="0"/>
          <c:showSerName val="0"/>
          <c:showPercent val="0"/>
          <c:showBubbleSize val="0"/>
        </c:dLbls>
        <c:gapWidth val="219"/>
        <c:overlap val="-27"/>
        <c:axId val="2144576024"/>
        <c:axId val="2144502744"/>
      </c:barChart>
      <c:catAx>
        <c:axId val="21445760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44502744"/>
        <c:crosses val="autoZero"/>
        <c:auto val="1"/>
        <c:lblAlgn val="ctr"/>
        <c:lblOffset val="100"/>
        <c:noMultiLvlLbl val="0"/>
      </c:catAx>
      <c:valAx>
        <c:axId val="2144502744"/>
        <c:scaling>
          <c:orientation val="minMax"/>
        </c:scaling>
        <c:delete val="1"/>
        <c:axPos val="l"/>
        <c:numFmt formatCode="0%" sourceLinked="0"/>
        <c:majorTickMark val="none"/>
        <c:minorTickMark val="none"/>
        <c:tickLblPos val="nextTo"/>
        <c:crossAx val="214457602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OUSD </a:t>
            </a:r>
            <a:r>
              <a:rPr lang="en-US" baseline="0"/>
              <a:t>% Met/Exceeded Standard (2016)</a:t>
            </a:r>
            <a:endParaRPr lang="en-US"/>
          </a:p>
        </c:rich>
      </c:tx>
      <c:layout/>
      <c:overlay val="0"/>
      <c:spPr>
        <a:noFill/>
        <a:ln>
          <a:noFill/>
        </a:ln>
        <a:effectLst/>
      </c:spPr>
    </c:title>
    <c:autoTitleDeleted val="0"/>
    <c:plotArea>
      <c:layout/>
      <c:barChart>
        <c:barDir val="col"/>
        <c:grouping val="clustered"/>
        <c:varyColors val="0"/>
        <c:ser>
          <c:idx val="0"/>
          <c:order val="0"/>
          <c:tx>
            <c:strRef>
              <c:f>OUSD!$AL$3</c:f>
              <c:strCache>
                <c:ptCount val="1"/>
                <c:pt idx="0">
                  <c:v>ELA</c:v>
                </c:pt>
              </c:strCache>
            </c:strRef>
          </c:tx>
          <c:spPr>
            <a:solidFill>
              <a:srgbClr val="AB194E"/>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OUSD!$AM$2:$AQ$2</c:f>
              <c:strCache>
                <c:ptCount val="5"/>
                <c:pt idx="0">
                  <c:v>All Charter Students</c:v>
                </c:pt>
                <c:pt idx="1">
                  <c:v>Latino Charter Students</c:v>
                </c:pt>
                <c:pt idx="2">
                  <c:v>African American Charter Students</c:v>
                </c:pt>
                <c:pt idx="3">
                  <c:v>Low Income Charter Students</c:v>
                </c:pt>
                <c:pt idx="4">
                  <c:v>All Traditional Students</c:v>
                </c:pt>
              </c:strCache>
            </c:strRef>
          </c:cat>
          <c:val>
            <c:numRef>
              <c:f>OUSD!$AM$3:$AQ$3</c:f>
              <c:numCache>
                <c:formatCode>0%</c:formatCode>
                <c:ptCount val="5"/>
                <c:pt idx="0">
                  <c:v>0.4226316</c:v>
                </c:pt>
                <c:pt idx="1">
                  <c:v>0.3841379</c:v>
                </c:pt>
                <c:pt idx="2">
                  <c:v>0.304</c:v>
                </c:pt>
                <c:pt idx="3">
                  <c:v>0.3883333</c:v>
                </c:pt>
                <c:pt idx="4">
                  <c:v>0.2796053</c:v>
                </c:pt>
              </c:numCache>
            </c:numRef>
          </c:val>
        </c:ser>
        <c:ser>
          <c:idx val="1"/>
          <c:order val="1"/>
          <c:tx>
            <c:strRef>
              <c:f>OUSD!$AL$4</c:f>
              <c:strCache>
                <c:ptCount val="1"/>
                <c:pt idx="0">
                  <c:v>Math</c:v>
                </c:pt>
              </c:strCache>
            </c:strRef>
          </c:tx>
          <c:spPr>
            <a:solidFill>
              <a:srgbClr val="828588"/>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OUSD!$AM$2:$AQ$2</c:f>
              <c:strCache>
                <c:ptCount val="5"/>
                <c:pt idx="0">
                  <c:v>All Charter Students</c:v>
                </c:pt>
                <c:pt idx="1">
                  <c:v>Latino Charter Students</c:v>
                </c:pt>
                <c:pt idx="2">
                  <c:v>African American Charter Students</c:v>
                </c:pt>
                <c:pt idx="3">
                  <c:v>Low Income Charter Students</c:v>
                </c:pt>
                <c:pt idx="4">
                  <c:v>All Traditional Students</c:v>
                </c:pt>
              </c:strCache>
            </c:strRef>
          </c:cat>
          <c:val>
            <c:numRef>
              <c:f>OUSD!$AM$4:$AQ$4</c:f>
              <c:numCache>
                <c:formatCode>0%</c:formatCode>
                <c:ptCount val="5"/>
                <c:pt idx="0">
                  <c:v>0.3128947</c:v>
                </c:pt>
                <c:pt idx="1">
                  <c:v>0.2782759</c:v>
                </c:pt>
                <c:pt idx="2">
                  <c:v>0.208</c:v>
                </c:pt>
                <c:pt idx="3">
                  <c:v>0.2906667</c:v>
                </c:pt>
                <c:pt idx="4">
                  <c:v>0.2294737</c:v>
                </c:pt>
              </c:numCache>
            </c:numRef>
          </c:val>
        </c:ser>
        <c:dLbls>
          <c:dLblPos val="outEnd"/>
          <c:showLegendKey val="0"/>
          <c:showVal val="1"/>
          <c:showCatName val="0"/>
          <c:showSerName val="0"/>
          <c:showPercent val="0"/>
          <c:showBubbleSize val="0"/>
        </c:dLbls>
        <c:gapWidth val="219"/>
        <c:overlap val="-27"/>
        <c:axId val="2144751480"/>
        <c:axId val="2117595800"/>
      </c:barChart>
      <c:catAx>
        <c:axId val="21447514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17595800"/>
        <c:crosses val="autoZero"/>
        <c:auto val="1"/>
        <c:lblAlgn val="ctr"/>
        <c:lblOffset val="100"/>
        <c:noMultiLvlLbl val="0"/>
      </c:catAx>
      <c:valAx>
        <c:axId val="2117595800"/>
        <c:scaling>
          <c:orientation val="minMax"/>
        </c:scaling>
        <c:delete val="1"/>
        <c:axPos val="l"/>
        <c:numFmt formatCode="0%" sourceLinked="0"/>
        <c:majorTickMark val="none"/>
        <c:minorTickMark val="none"/>
        <c:tickLblPos val="nextTo"/>
        <c:crossAx val="214475148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857</Words>
  <Characters>4888</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Craig Clough</cp:lastModifiedBy>
  <cp:revision>2</cp:revision>
  <dcterms:created xsi:type="dcterms:W3CDTF">2016-08-30T19:21:00Z</dcterms:created>
  <dcterms:modified xsi:type="dcterms:W3CDTF">2016-08-30T19:21:00Z</dcterms:modified>
</cp:coreProperties>
</file>